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82846" w14:textId="571C813C" w:rsidR="00C7766E" w:rsidRDefault="00320C40" w:rsidP="00C7766E">
      <w:r>
        <w:t xml:space="preserve">                                 </w:t>
      </w:r>
      <w:r w:rsidRPr="005426E1">
        <w:rPr>
          <w:i/>
          <w:iCs/>
          <w:noProof/>
        </w:rPr>
        <w:drawing>
          <wp:inline distT="0" distB="0" distL="0" distR="0" wp14:anchorId="6BE8E033" wp14:editId="5FEDF1D9">
            <wp:extent cx="3145473" cy="1095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6064" cy="1106028"/>
                    </a:xfrm>
                    <a:prstGeom prst="rect">
                      <a:avLst/>
                    </a:prstGeom>
                  </pic:spPr>
                </pic:pic>
              </a:graphicData>
            </a:graphic>
          </wp:inline>
        </w:drawing>
      </w:r>
      <w:r>
        <w:t xml:space="preserve"> </w:t>
      </w:r>
      <w:r w:rsidR="00C7766E">
        <w:t xml:space="preserve">                         </w:t>
      </w:r>
    </w:p>
    <w:p w14:paraId="4F5E5BC0" w14:textId="77777777" w:rsidR="00886F8C" w:rsidRPr="00C6241F" w:rsidRDefault="00886F8C" w:rsidP="00C6241F">
      <w:pPr>
        <w:spacing w:after="0" w:line="278" w:lineRule="auto"/>
        <w:rPr>
          <w:rFonts w:ascii="Marianne" w:hAnsi="Marianne"/>
          <w:b/>
          <w:bCs/>
          <w:kern w:val="2"/>
          <w14:ligatures w14:val="standardContextual"/>
        </w:rPr>
      </w:pPr>
      <w:r w:rsidRPr="00C6241F">
        <w:rPr>
          <w:rFonts w:ascii="Marianne" w:hAnsi="Marianne"/>
          <w:b/>
          <w:bCs/>
          <w:kern w:val="2"/>
          <w14:ligatures w14:val="standardContextual"/>
        </w:rPr>
        <w:t>COUR D'APPEL DE DOUAI</w:t>
      </w:r>
      <w:r w:rsidRPr="00C6241F">
        <w:rPr>
          <w:rFonts w:ascii="Marianne" w:hAnsi="Marianne"/>
          <w:b/>
          <w:bCs/>
          <w:kern w:val="2"/>
          <w14:ligatures w14:val="standardContextual"/>
        </w:rPr>
        <w:tab/>
      </w:r>
    </w:p>
    <w:p w14:paraId="71F2AC57" w14:textId="481FB16E" w:rsidR="00886F8C" w:rsidRPr="00C6241F" w:rsidRDefault="00886F8C" w:rsidP="00C6241F">
      <w:pPr>
        <w:spacing w:after="0" w:line="278" w:lineRule="auto"/>
        <w:rPr>
          <w:rFonts w:ascii="Marianne" w:hAnsi="Marianne"/>
          <w:b/>
          <w:bCs/>
          <w:kern w:val="2"/>
          <w14:ligatures w14:val="standardContextual"/>
        </w:rPr>
      </w:pPr>
      <w:r w:rsidRPr="00C6241F">
        <w:rPr>
          <w:rFonts w:ascii="Marianne" w:hAnsi="Marianne"/>
          <w:b/>
          <w:bCs/>
          <w:kern w:val="2"/>
          <w14:ligatures w14:val="standardContextual"/>
        </w:rPr>
        <w:t>PARQUET GENERAL</w:t>
      </w:r>
      <w:r w:rsidRPr="00C6241F">
        <w:rPr>
          <w:rFonts w:ascii="Marianne" w:hAnsi="Marianne"/>
          <w:b/>
          <w:bCs/>
          <w:kern w:val="2"/>
          <w14:ligatures w14:val="standardContextual"/>
        </w:rPr>
        <w:tab/>
      </w:r>
      <w:r w:rsidRPr="00C6241F">
        <w:rPr>
          <w:rFonts w:ascii="Marianne" w:hAnsi="Marianne"/>
          <w:b/>
          <w:bCs/>
          <w:kern w:val="2"/>
          <w14:ligatures w14:val="standardContextual"/>
        </w:rPr>
        <w:tab/>
      </w:r>
      <w:r w:rsidRPr="00C6241F">
        <w:rPr>
          <w:rFonts w:ascii="Marianne" w:hAnsi="Marianne"/>
          <w:b/>
          <w:bCs/>
          <w:kern w:val="2"/>
          <w14:ligatures w14:val="standardContextual"/>
        </w:rPr>
        <w:tab/>
      </w:r>
      <w:r w:rsidRPr="00C6241F">
        <w:rPr>
          <w:rFonts w:ascii="Marianne" w:hAnsi="Marianne"/>
          <w:b/>
          <w:bCs/>
          <w:kern w:val="2"/>
          <w14:ligatures w14:val="standardContextual"/>
        </w:rPr>
        <w:tab/>
      </w:r>
      <w:r w:rsidRPr="00C6241F">
        <w:rPr>
          <w:rFonts w:ascii="Marianne" w:hAnsi="Marianne"/>
          <w:b/>
          <w:bCs/>
          <w:kern w:val="2"/>
          <w14:ligatures w14:val="standardContextual"/>
        </w:rPr>
        <w:tab/>
      </w:r>
      <w:r w:rsidRPr="00C6241F">
        <w:rPr>
          <w:rFonts w:ascii="Marianne" w:hAnsi="Marianne"/>
          <w:b/>
          <w:bCs/>
          <w:kern w:val="2"/>
          <w14:ligatures w14:val="standardContextual"/>
        </w:rPr>
        <w:tab/>
      </w:r>
      <w:r w:rsidRPr="00C6241F">
        <w:rPr>
          <w:rFonts w:ascii="Marianne" w:hAnsi="Marianne"/>
          <w:b/>
          <w:bCs/>
          <w:kern w:val="2"/>
          <w14:ligatures w14:val="standardContextual"/>
        </w:rPr>
        <w:tab/>
      </w:r>
    </w:p>
    <w:p w14:paraId="05CA836A" w14:textId="02E69CA9" w:rsidR="00886F8C" w:rsidRDefault="00886F8C" w:rsidP="00C6241F">
      <w:pPr>
        <w:spacing w:after="0" w:line="278" w:lineRule="auto"/>
        <w:rPr>
          <w:rFonts w:ascii="Marianne" w:hAnsi="Marianne"/>
          <w:b/>
          <w:bCs/>
          <w:kern w:val="2"/>
          <w14:ligatures w14:val="standardContextual"/>
        </w:rPr>
      </w:pPr>
      <w:r w:rsidRPr="00C6241F">
        <w:rPr>
          <w:rFonts w:ascii="Marianne" w:hAnsi="Marianne"/>
          <w:b/>
          <w:bCs/>
          <w:kern w:val="2"/>
          <w14:ligatures w14:val="standardContextual"/>
        </w:rPr>
        <w:t xml:space="preserve">Service des experts judiciaires  </w:t>
      </w:r>
    </w:p>
    <w:p w14:paraId="2E74C6E6" w14:textId="4FFF1A5F" w:rsidR="00C6241F" w:rsidRPr="00FD3D93" w:rsidRDefault="00C6241F" w:rsidP="00C6241F">
      <w:pPr>
        <w:spacing w:after="0"/>
        <w:ind w:left="1416" w:firstLine="708"/>
        <w:jc w:val="right"/>
        <w:rPr>
          <w:rFonts w:ascii="Marianne" w:hAnsi="Marianne"/>
          <w:sz w:val="16"/>
          <w:szCs w:val="16"/>
        </w:rPr>
      </w:pPr>
      <w:r w:rsidRPr="00FD3D93">
        <w:rPr>
          <w:rFonts w:ascii="Marianne" w:hAnsi="Marianne"/>
          <w:sz w:val="16"/>
          <w:szCs w:val="16"/>
        </w:rPr>
        <w:t xml:space="preserve">Mis à jour : </w:t>
      </w:r>
      <w:r w:rsidR="003E6F7B">
        <w:rPr>
          <w:rFonts w:ascii="Marianne" w:hAnsi="Marianne"/>
          <w:sz w:val="16"/>
          <w:szCs w:val="16"/>
        </w:rPr>
        <w:t>Décembre</w:t>
      </w:r>
      <w:r w:rsidRPr="00FD3D93">
        <w:rPr>
          <w:rFonts w:ascii="Marianne" w:hAnsi="Marianne"/>
          <w:sz w:val="16"/>
          <w:szCs w:val="16"/>
        </w:rPr>
        <w:t xml:space="preserve"> 2025</w:t>
      </w:r>
    </w:p>
    <w:p w14:paraId="15F1F151" w14:textId="0A370D89" w:rsidR="00886F8C" w:rsidRPr="00C6241F" w:rsidRDefault="00C6241F" w:rsidP="00886F8C">
      <w:pPr>
        <w:spacing w:after="0"/>
        <w:rPr>
          <w:rFonts w:ascii="Marianne" w:hAnsi="Marianne"/>
        </w:rPr>
      </w:pPr>
      <w:r>
        <w:rPr>
          <w:rFonts w:ascii="Marianne" w:hAnsi="Marianne"/>
          <w:noProof/>
        </w:rPr>
        <mc:AlternateContent>
          <mc:Choice Requires="wps">
            <w:drawing>
              <wp:anchor distT="0" distB="0" distL="114300" distR="114300" simplePos="0" relativeHeight="251659264" behindDoc="1" locked="0" layoutInCell="1" allowOverlap="1" wp14:anchorId="7D0EEF39" wp14:editId="4786A479">
                <wp:simplePos x="0" y="0"/>
                <wp:positionH relativeFrom="margin">
                  <wp:align>left</wp:align>
                </wp:positionH>
                <wp:positionV relativeFrom="paragraph">
                  <wp:posOffset>135890</wp:posOffset>
                </wp:positionV>
                <wp:extent cx="5924550" cy="13620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924550" cy="1362075"/>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510CB" id="Rectangle 2" o:spid="_x0000_s1026" style="position:absolute;margin-left:0;margin-top:10.7pt;width:466.5pt;height:107.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" fillcolor="#b4c6e7 [1300]" strokecolor="#1f3763 [1604]" strokeweight="1pt">
                <w10:wrap anchorx="margin"/>
              </v:rect>
            </w:pict>
          </mc:Fallback>
        </mc:AlternateContent>
      </w:r>
    </w:p>
    <w:p w14:paraId="502FCCC7" w14:textId="77777777" w:rsidR="003E6F7B" w:rsidRDefault="003E6F7B" w:rsidP="00C6241F">
      <w:pPr>
        <w:spacing w:after="0" w:line="240" w:lineRule="auto"/>
        <w:jc w:val="center"/>
        <w:rPr>
          <w:rFonts w:ascii="Marianne" w:hAnsi="Marianne"/>
          <w:b/>
          <w:bCs/>
          <w:kern w:val="2"/>
          <w:sz w:val="32"/>
          <w:szCs w:val="32"/>
          <w14:ligatures w14:val="standardContextual"/>
        </w:rPr>
      </w:pPr>
      <w:r>
        <w:rPr>
          <w:rFonts w:ascii="Marianne" w:hAnsi="Marianne"/>
          <w:b/>
          <w:bCs/>
          <w:kern w:val="2"/>
          <w:sz w:val="32"/>
          <w:szCs w:val="32"/>
          <w14:ligatures w14:val="standardContextual"/>
        </w:rPr>
        <w:t>NOTICE</w:t>
      </w:r>
    </w:p>
    <w:p w14:paraId="4F5D3E3D" w14:textId="2B1B44EC" w:rsidR="00886F8C" w:rsidRPr="00C6241F" w:rsidRDefault="00886F8C" w:rsidP="00C6241F">
      <w:pPr>
        <w:spacing w:after="0" w:line="240" w:lineRule="auto"/>
        <w:jc w:val="center"/>
        <w:rPr>
          <w:rFonts w:ascii="Marianne" w:hAnsi="Marianne"/>
          <w:b/>
          <w:bCs/>
          <w:kern w:val="2"/>
          <w:sz w:val="32"/>
          <w:szCs w:val="32"/>
          <w14:ligatures w14:val="standardContextual"/>
        </w:rPr>
      </w:pPr>
      <w:r w:rsidRPr="00C6241F">
        <w:rPr>
          <w:rFonts w:ascii="Marianne" w:hAnsi="Marianne"/>
          <w:b/>
          <w:bCs/>
          <w:kern w:val="2"/>
          <w:sz w:val="32"/>
          <w:szCs w:val="32"/>
          <w14:ligatures w14:val="standardContextual"/>
        </w:rPr>
        <w:t>INSCRIPTION SUR LA LISTE DES EXPERTS DE LA COUR D’APPEL DE DOUAI</w:t>
      </w:r>
    </w:p>
    <w:p w14:paraId="7458BE8B" w14:textId="77777777" w:rsidR="00C6241F" w:rsidRPr="00C6241F" w:rsidRDefault="00C6241F" w:rsidP="00C6241F">
      <w:pPr>
        <w:jc w:val="center"/>
        <w:rPr>
          <w:rFonts w:ascii="Marianne" w:hAnsi="Marianne"/>
        </w:rPr>
      </w:pPr>
      <w:r w:rsidRPr="00FD3D93">
        <w:rPr>
          <w:rFonts w:ascii="Marianne" w:hAnsi="Marianne"/>
          <w:b/>
          <w:bCs/>
          <w:sz w:val="32"/>
          <w:szCs w:val="32"/>
        </w:rPr>
        <w:t>pour l’année 2027</w:t>
      </w:r>
    </w:p>
    <w:p w14:paraId="1C72500D" w14:textId="77777777" w:rsidR="00C6241F" w:rsidRDefault="00C6241F" w:rsidP="00C7766E">
      <w:pPr>
        <w:ind w:left="2124" w:firstLine="708"/>
        <w:rPr>
          <w:rFonts w:ascii="Marianne" w:hAnsi="Marianne"/>
          <w:b/>
          <w:bCs/>
        </w:rPr>
      </w:pPr>
    </w:p>
    <w:p w14:paraId="3E4B6751" w14:textId="0D97306C" w:rsidR="00A54E03" w:rsidRDefault="00A54E03" w:rsidP="0093637F">
      <w:pPr>
        <w:spacing w:after="0"/>
        <w:rPr>
          <w:rFonts w:ascii="Marianne" w:hAnsi="Marianne"/>
        </w:rPr>
      </w:pPr>
      <w:r w:rsidRPr="00C6241F">
        <w:rPr>
          <w:rFonts w:ascii="Marianne" w:hAnsi="Marianne"/>
        </w:rPr>
        <w:t>Madame,</w:t>
      </w:r>
      <w:r w:rsidR="00621478" w:rsidRPr="00C6241F">
        <w:rPr>
          <w:rFonts w:ascii="Marianne" w:hAnsi="Marianne"/>
        </w:rPr>
        <w:t xml:space="preserve"> </w:t>
      </w:r>
      <w:r w:rsidRPr="00C6241F">
        <w:rPr>
          <w:rFonts w:ascii="Marianne" w:hAnsi="Marianne"/>
        </w:rPr>
        <w:t>Monsieur,</w:t>
      </w:r>
    </w:p>
    <w:p w14:paraId="7C295F4B" w14:textId="77777777" w:rsidR="0093637F" w:rsidRPr="00C6241F" w:rsidRDefault="0093637F" w:rsidP="0093637F">
      <w:pPr>
        <w:spacing w:after="0"/>
        <w:rPr>
          <w:rFonts w:ascii="Marianne" w:hAnsi="Marianne"/>
        </w:rPr>
      </w:pPr>
    </w:p>
    <w:p w14:paraId="50403431" w14:textId="75F67FA1" w:rsidR="00A54E03" w:rsidRDefault="00A54E03" w:rsidP="0093637F">
      <w:pPr>
        <w:spacing w:after="0"/>
        <w:jc w:val="both"/>
        <w:rPr>
          <w:rFonts w:ascii="Marianne" w:hAnsi="Marianne"/>
        </w:rPr>
      </w:pPr>
      <w:r w:rsidRPr="00C6241F">
        <w:rPr>
          <w:rFonts w:ascii="Marianne" w:hAnsi="Marianne"/>
        </w:rPr>
        <w:t>Vous avez exprimé le souhait d’être inscrit sur la liste des experts judiciaires de la Cour d’appel de</w:t>
      </w:r>
      <w:r w:rsidR="001D6BEF">
        <w:rPr>
          <w:rFonts w:ascii="Marianne" w:hAnsi="Marianne"/>
        </w:rPr>
        <w:t xml:space="preserve"> Douai</w:t>
      </w:r>
      <w:r w:rsidRPr="00C6241F">
        <w:rPr>
          <w:rFonts w:ascii="Marianne" w:hAnsi="Marianne"/>
        </w:rPr>
        <w:t xml:space="preserve">. </w:t>
      </w:r>
    </w:p>
    <w:p w14:paraId="0C8B433F" w14:textId="559F6FD3" w:rsidR="007F07F1" w:rsidRDefault="007F07F1" w:rsidP="00FB3BC1">
      <w:pPr>
        <w:spacing w:after="0"/>
        <w:jc w:val="both"/>
        <w:rPr>
          <w:rFonts w:ascii="Marianne" w:hAnsi="Marianne"/>
        </w:rPr>
      </w:pPr>
    </w:p>
    <w:p w14:paraId="6091C45F" w14:textId="511C30A3" w:rsidR="007F07F1" w:rsidRDefault="007F07F1" w:rsidP="00FB3BC1">
      <w:pPr>
        <w:spacing w:after="0"/>
        <w:jc w:val="both"/>
        <w:rPr>
          <w:rFonts w:ascii="Marianne" w:hAnsi="Marianne"/>
        </w:rPr>
      </w:pPr>
      <w:r>
        <w:rPr>
          <w:rFonts w:ascii="Marianne" w:hAnsi="Marianne"/>
        </w:rPr>
        <w:t>A compter du 1</w:t>
      </w:r>
      <w:r w:rsidRPr="007F07F1">
        <w:rPr>
          <w:rFonts w:ascii="Marianne" w:hAnsi="Marianne"/>
          <w:vertAlign w:val="superscript"/>
        </w:rPr>
        <w:t>er</w:t>
      </w:r>
      <w:r>
        <w:rPr>
          <w:rFonts w:ascii="Marianne" w:hAnsi="Marianne"/>
        </w:rPr>
        <w:t xml:space="preserve"> janvier 2026, les demandes d’inscriptions doivent se faire via le portail interministériel demarche.numerique.gouv.fr. </w:t>
      </w:r>
      <w:r w:rsidRPr="003E6F7B">
        <w:rPr>
          <w:rFonts w:ascii="Marianne" w:hAnsi="Marianne"/>
          <w:b/>
          <w:bCs/>
          <w:i/>
          <w:iCs/>
        </w:rPr>
        <w:t xml:space="preserve">Le dépôt d’un dossier papier n’est donc plus possible. </w:t>
      </w:r>
    </w:p>
    <w:p w14:paraId="4182CE82" w14:textId="52391D47" w:rsidR="007F07F1" w:rsidRDefault="007F07F1" w:rsidP="00FB3BC1">
      <w:pPr>
        <w:spacing w:after="0"/>
        <w:jc w:val="both"/>
        <w:rPr>
          <w:rFonts w:ascii="Marianne" w:hAnsi="Marianne"/>
        </w:rPr>
      </w:pPr>
    </w:p>
    <w:p w14:paraId="742514A4" w14:textId="20770E37" w:rsidR="007F07F1" w:rsidRDefault="007F07F1" w:rsidP="00FB3BC1">
      <w:pPr>
        <w:spacing w:after="0"/>
        <w:jc w:val="both"/>
        <w:rPr>
          <w:rFonts w:ascii="Marianne" w:hAnsi="Marianne"/>
        </w:rPr>
      </w:pPr>
      <w:r>
        <w:rPr>
          <w:rFonts w:ascii="Marianne" w:hAnsi="Marianne"/>
        </w:rPr>
        <w:t xml:space="preserve">Vous pouvez vous connecter via le lien suivant : </w:t>
      </w:r>
    </w:p>
    <w:p w14:paraId="12690B9E" w14:textId="62EF6DFF" w:rsidR="007F07F1" w:rsidRDefault="007F07F1" w:rsidP="00FB3BC1">
      <w:pPr>
        <w:spacing w:after="0"/>
        <w:jc w:val="both"/>
        <w:rPr>
          <w:rFonts w:ascii="Marianne" w:hAnsi="Marianne"/>
        </w:rPr>
      </w:pPr>
    </w:p>
    <w:p w14:paraId="165BBDAC" w14:textId="5764E77D" w:rsidR="007F07F1" w:rsidRPr="00A73001" w:rsidRDefault="002376EE" w:rsidP="00FB3BC1">
      <w:pPr>
        <w:spacing w:after="0"/>
        <w:jc w:val="center"/>
        <w:rPr>
          <w:rFonts w:ascii="Marianne" w:eastAsia="Times New Roman" w:hAnsi="Marianne"/>
          <w:b/>
          <w:bCs/>
          <w:color w:val="0070C0"/>
        </w:rPr>
      </w:pPr>
      <w:hyperlink r:id="rId8" w:history="1">
        <w:r w:rsidR="007F07F1" w:rsidRPr="00A73001">
          <w:rPr>
            <w:rStyle w:val="Lienhypertexte"/>
            <w:rFonts w:ascii="Marianne" w:eastAsia="Times New Roman" w:hAnsi="Marianne"/>
            <w:b/>
            <w:bCs/>
            <w:color w:val="0070C0"/>
          </w:rPr>
          <w:t>https://demarche.numerique.gouv.fr/commencer/experts-judiciaires-inscription-initiale-campagne-</w:t>
        </w:r>
      </w:hyperlink>
    </w:p>
    <w:p w14:paraId="5FEBA8F2" w14:textId="0A9B714C" w:rsidR="007F07F1" w:rsidRPr="003E6F7B" w:rsidRDefault="007F07F1" w:rsidP="00FB3BC1">
      <w:pPr>
        <w:spacing w:after="0"/>
        <w:jc w:val="both"/>
        <w:rPr>
          <w:rFonts w:ascii="Marianne" w:hAnsi="Marianne"/>
        </w:rPr>
      </w:pPr>
    </w:p>
    <w:p w14:paraId="0B20EC95" w14:textId="77777777" w:rsidR="003E6F7B" w:rsidRPr="003E6F7B" w:rsidRDefault="003E6F7B" w:rsidP="00FB3BC1">
      <w:pPr>
        <w:spacing w:after="0"/>
        <w:jc w:val="both"/>
        <w:rPr>
          <w:rFonts w:ascii="Marianne" w:hAnsi="Marianne"/>
        </w:rPr>
      </w:pPr>
      <w:r w:rsidRPr="003E6F7B">
        <w:rPr>
          <w:rFonts w:ascii="Marianne" w:hAnsi="Marianne"/>
        </w:rPr>
        <w:t xml:space="preserve">La plateforme Démarches Simplifiées sera ouverte à compter </w:t>
      </w:r>
      <w:r w:rsidRPr="003E6F7B">
        <w:rPr>
          <w:rFonts w:ascii="Marianne" w:hAnsi="Marianne"/>
          <w:b/>
          <w:bCs/>
          <w:u w:val="single"/>
        </w:rPr>
        <w:t>du 1</w:t>
      </w:r>
      <w:r w:rsidRPr="003E6F7B">
        <w:rPr>
          <w:rFonts w:ascii="Marianne" w:hAnsi="Marianne"/>
          <w:b/>
          <w:bCs/>
          <w:u w:val="single"/>
          <w:vertAlign w:val="superscript"/>
        </w:rPr>
        <w:t>er</w:t>
      </w:r>
      <w:r w:rsidRPr="003E6F7B">
        <w:rPr>
          <w:rFonts w:ascii="Marianne" w:hAnsi="Marianne"/>
          <w:b/>
          <w:bCs/>
          <w:u w:val="single"/>
        </w:rPr>
        <w:t xml:space="preserve"> janvier 2026 jusqu’au 28 février 2026 minuit.</w:t>
      </w:r>
      <w:r w:rsidRPr="003E6F7B">
        <w:rPr>
          <w:rFonts w:ascii="Marianne" w:hAnsi="Marianne"/>
        </w:rPr>
        <w:t xml:space="preserve"> Passé ce délai, il ne sera plus possible de déposer un dossier.</w:t>
      </w:r>
    </w:p>
    <w:p w14:paraId="5EA32600" w14:textId="77777777" w:rsidR="003E6F7B" w:rsidRDefault="003E6F7B" w:rsidP="00FB3BC1">
      <w:pPr>
        <w:spacing w:after="0"/>
        <w:jc w:val="both"/>
        <w:rPr>
          <w:rFonts w:ascii="Marianne" w:hAnsi="Marianne"/>
        </w:rPr>
      </w:pPr>
    </w:p>
    <w:p w14:paraId="1D5E8048" w14:textId="77777777" w:rsidR="003E6F7B" w:rsidRDefault="00A54E03" w:rsidP="00FB3BC1">
      <w:pPr>
        <w:spacing w:after="0"/>
        <w:jc w:val="both"/>
        <w:rPr>
          <w:rFonts w:ascii="Marianne" w:hAnsi="Marianne"/>
        </w:rPr>
      </w:pPr>
      <w:r w:rsidRPr="00C6241F">
        <w:rPr>
          <w:rFonts w:ascii="Marianne" w:hAnsi="Marianne"/>
        </w:rPr>
        <w:t xml:space="preserve">Le service civil du parquet du tribunal judiciaire de votre ressort reste à votre disposition pour toute interrogation sur les modalités </w:t>
      </w:r>
      <w:r w:rsidR="003E6F7B">
        <w:rPr>
          <w:rFonts w:ascii="Marianne" w:hAnsi="Marianne"/>
        </w:rPr>
        <w:t>d’inscription.</w:t>
      </w:r>
    </w:p>
    <w:p w14:paraId="1D1B05F5" w14:textId="71C7E9BA" w:rsidR="0093637F" w:rsidRDefault="00A54E03" w:rsidP="00FB3BC1">
      <w:pPr>
        <w:spacing w:after="0"/>
        <w:jc w:val="both"/>
        <w:rPr>
          <w:rFonts w:ascii="Marianne" w:hAnsi="Marianne"/>
        </w:rPr>
      </w:pPr>
      <w:r w:rsidRPr="00C6241F">
        <w:rPr>
          <w:rFonts w:ascii="Marianne" w:hAnsi="Marianne"/>
        </w:rPr>
        <w:t xml:space="preserve"> </w:t>
      </w:r>
    </w:p>
    <w:p w14:paraId="23443469" w14:textId="3966D549" w:rsidR="003E6F7B" w:rsidRPr="00C6241F" w:rsidRDefault="00C7766E" w:rsidP="0093637F">
      <w:pPr>
        <w:spacing w:after="0"/>
        <w:jc w:val="both"/>
        <w:rPr>
          <w:rFonts w:ascii="Marianne" w:hAnsi="Marianne"/>
        </w:rPr>
      </w:pPr>
      <w:r w:rsidRPr="00C6241F">
        <w:rPr>
          <w:rFonts w:ascii="Marianne" w:hAnsi="Marianne"/>
        </w:rPr>
        <w:t>Les listes d’experts prévues à l’article 1er du décret du 23 décembre 2004 sont dressées</w:t>
      </w:r>
      <w:r w:rsidR="00A364ED" w:rsidRPr="00C6241F">
        <w:rPr>
          <w:rFonts w:ascii="Marianne" w:hAnsi="Marianne"/>
        </w:rPr>
        <w:t xml:space="preserve"> chaque année</w:t>
      </w:r>
      <w:r w:rsidRPr="00C6241F">
        <w:rPr>
          <w:rFonts w:ascii="Marianne" w:hAnsi="Marianne"/>
        </w:rPr>
        <w:t xml:space="preserve"> par les cours d’appel et par la Cour de cassation</w:t>
      </w:r>
      <w:r w:rsidR="00A364ED" w:rsidRPr="00C6241F">
        <w:rPr>
          <w:rFonts w:ascii="Marianne" w:hAnsi="Marianne"/>
        </w:rPr>
        <w:t>.</w:t>
      </w:r>
    </w:p>
    <w:p w14:paraId="458EE909" w14:textId="1D844703" w:rsidR="00F55822" w:rsidRPr="003E6F7B" w:rsidRDefault="003E6F7B" w:rsidP="003E6F7B">
      <w:pPr>
        <w:shd w:val="clear" w:color="auto" w:fill="D9E2F3" w:themeFill="accent1" w:themeFillTint="33"/>
        <w:spacing w:after="0"/>
        <w:jc w:val="center"/>
        <w:rPr>
          <w:rFonts w:ascii="Marianne" w:hAnsi="Marianne" w:cs="Times New Roman"/>
          <w:b/>
          <w:bCs/>
          <w:sz w:val="24"/>
          <w:szCs w:val="24"/>
        </w:rPr>
      </w:pPr>
      <w:r w:rsidRPr="003E6F7B">
        <w:rPr>
          <w:rFonts w:ascii="Marianne" w:hAnsi="Marianne" w:cs="Times New Roman"/>
          <w:b/>
          <w:bCs/>
          <w:sz w:val="24"/>
          <w:szCs w:val="24"/>
        </w:rPr>
        <w:lastRenderedPageBreak/>
        <w:t>Présentation de l’expertise judicaire et des devoirs de l’expert</w:t>
      </w:r>
    </w:p>
    <w:p w14:paraId="50AA95CC" w14:textId="77777777" w:rsidR="003E6F7B" w:rsidRDefault="003E6F7B" w:rsidP="0093637F">
      <w:pPr>
        <w:spacing w:after="0"/>
        <w:jc w:val="both"/>
        <w:rPr>
          <w:rFonts w:ascii="Marianne" w:hAnsi="Marianne"/>
          <w:b/>
          <w:bCs/>
        </w:rPr>
      </w:pPr>
    </w:p>
    <w:p w14:paraId="03692F93" w14:textId="67089E37" w:rsidR="00F55822" w:rsidRPr="00C6241F" w:rsidRDefault="00A364ED" w:rsidP="0093637F">
      <w:pPr>
        <w:spacing w:after="0"/>
        <w:jc w:val="both"/>
        <w:rPr>
          <w:rFonts w:ascii="Marianne" w:hAnsi="Marianne"/>
          <w:b/>
          <w:bCs/>
        </w:rPr>
      </w:pPr>
      <w:r w:rsidRPr="00C6241F">
        <w:rPr>
          <w:rFonts w:ascii="Marianne" w:hAnsi="Marianne"/>
          <w:b/>
          <w:bCs/>
        </w:rPr>
        <w:t xml:space="preserve">L’expert judiciaire, en tant que tel, n’exerce en aucune manière, une profession. </w:t>
      </w:r>
    </w:p>
    <w:p w14:paraId="041009A8" w14:textId="1796FE6F" w:rsidR="00F55822" w:rsidRPr="00C6241F" w:rsidRDefault="00A364ED" w:rsidP="0093637F">
      <w:pPr>
        <w:spacing w:after="0"/>
        <w:jc w:val="both"/>
        <w:rPr>
          <w:rFonts w:ascii="Marianne" w:hAnsi="Marianne"/>
        </w:rPr>
      </w:pPr>
      <w:r w:rsidRPr="00C6241F">
        <w:rPr>
          <w:rFonts w:ascii="Marianne" w:hAnsi="Marianne"/>
        </w:rPr>
        <w:t xml:space="preserve">En demandant à être inscrit sur la liste de la Cour d’appel, vous vous engagez à consacrer une partie de votre temps au service de la justice et à lui apporter votre concours, vos connaissances techniques, votre expérience professionnelle en exécutant les missions qui pourront vous être confiées par une juridiction. </w:t>
      </w:r>
    </w:p>
    <w:p w14:paraId="16ABA911" w14:textId="77777777" w:rsidR="00EB0C35" w:rsidRPr="00C6241F" w:rsidRDefault="00EB0C35" w:rsidP="0093637F">
      <w:pPr>
        <w:spacing w:after="0"/>
        <w:jc w:val="both"/>
        <w:rPr>
          <w:rFonts w:ascii="Marianne" w:hAnsi="Marianne"/>
        </w:rPr>
      </w:pPr>
    </w:p>
    <w:p w14:paraId="556A3D61" w14:textId="48A06951" w:rsidR="00F55822" w:rsidRDefault="00A364ED" w:rsidP="0093637F">
      <w:pPr>
        <w:spacing w:after="0"/>
        <w:jc w:val="both"/>
        <w:rPr>
          <w:rFonts w:ascii="Marianne" w:hAnsi="Marianne"/>
        </w:rPr>
      </w:pPr>
      <w:r w:rsidRPr="00C6241F">
        <w:rPr>
          <w:rFonts w:ascii="Marianne" w:hAnsi="Marianne"/>
        </w:rPr>
        <w:t xml:space="preserve">Attention, </w:t>
      </w:r>
      <w:r w:rsidRPr="00C6241F">
        <w:rPr>
          <w:rFonts w:ascii="Marianne" w:hAnsi="Marianne"/>
          <w:b/>
          <w:bCs/>
        </w:rPr>
        <w:t>vous ne pouvez pas cumuler plusieurs inscriptions sur plusieurs listes de cours d'appel.</w:t>
      </w:r>
      <w:r w:rsidRPr="00C6241F">
        <w:rPr>
          <w:rFonts w:ascii="Marianne" w:hAnsi="Marianne"/>
        </w:rPr>
        <w:t xml:space="preserve"> </w:t>
      </w:r>
    </w:p>
    <w:p w14:paraId="4CF51274" w14:textId="77777777" w:rsidR="0093637F" w:rsidRPr="00C6241F" w:rsidRDefault="0093637F" w:rsidP="0093637F">
      <w:pPr>
        <w:spacing w:after="0"/>
        <w:jc w:val="both"/>
        <w:rPr>
          <w:rFonts w:ascii="Marianne" w:hAnsi="Marianne"/>
        </w:rPr>
      </w:pPr>
    </w:p>
    <w:p w14:paraId="226F5982" w14:textId="77777777" w:rsidR="003162B3" w:rsidRPr="00C6241F" w:rsidRDefault="00A364ED" w:rsidP="0093637F">
      <w:pPr>
        <w:spacing w:after="0"/>
        <w:jc w:val="both"/>
        <w:rPr>
          <w:rFonts w:ascii="Marianne" w:hAnsi="Marianne"/>
        </w:rPr>
      </w:pPr>
      <w:r w:rsidRPr="00C6241F">
        <w:rPr>
          <w:rFonts w:ascii="Marianne" w:hAnsi="Marianne"/>
        </w:rPr>
        <w:t>C’est en fonction des besoins exprimés par les juridictions du ressort que l’assemblée générale de la cour apprécie les mérites des candidatures en veillant à ne retenir que celles déposées par d’excellents professionnels présentant, par ailleurs, des garanties de moralité, d’impartialité, d’indépendance, de disponibilité et en mesure d’effectuer les missions d’expertises qui leur sont confiées dans les délais impartis.</w:t>
      </w:r>
    </w:p>
    <w:p w14:paraId="1C2EC695" w14:textId="4291DC65" w:rsidR="003162B3" w:rsidRDefault="00A364ED" w:rsidP="0093637F">
      <w:pPr>
        <w:spacing w:after="0"/>
        <w:jc w:val="both"/>
        <w:rPr>
          <w:rFonts w:ascii="Marianne" w:hAnsi="Marianne"/>
        </w:rPr>
      </w:pPr>
      <w:r w:rsidRPr="00C6241F">
        <w:rPr>
          <w:rFonts w:ascii="Marianne" w:hAnsi="Marianne"/>
        </w:rPr>
        <w:t xml:space="preserve">L’article 4-1 du décret numéro 2012-1451 du 24.12.2012 sur la procédure d’inscription dispose que le candidat devra, outre ses qualités et expériences professionnelles, manifester un intérêt pour collaborer au service public de la justice. </w:t>
      </w:r>
    </w:p>
    <w:p w14:paraId="70C0E8FA" w14:textId="77777777" w:rsidR="0093637F" w:rsidRPr="00C6241F" w:rsidRDefault="0093637F" w:rsidP="0093637F">
      <w:pPr>
        <w:spacing w:after="0"/>
        <w:jc w:val="both"/>
        <w:rPr>
          <w:rFonts w:ascii="Marianne" w:hAnsi="Marianne"/>
        </w:rPr>
      </w:pPr>
    </w:p>
    <w:p w14:paraId="0C6A7183" w14:textId="33B6BA4E" w:rsidR="003162B3" w:rsidRPr="0093637F" w:rsidRDefault="00A364ED" w:rsidP="0093637F">
      <w:pPr>
        <w:shd w:val="clear" w:color="auto" w:fill="D9E2F3" w:themeFill="accent1" w:themeFillTint="33"/>
        <w:spacing w:after="0"/>
        <w:jc w:val="center"/>
        <w:rPr>
          <w:rFonts w:ascii="Marianne" w:hAnsi="Marianne"/>
          <w:color w:val="1F3864" w:themeColor="accent1" w:themeShade="80"/>
        </w:rPr>
      </w:pPr>
      <w:r w:rsidRPr="0093637F">
        <w:rPr>
          <w:rFonts w:ascii="Marianne" w:hAnsi="Marianne"/>
          <w:b/>
          <w:bCs/>
          <w:color w:val="1F3864" w:themeColor="accent1" w:themeShade="80"/>
        </w:rPr>
        <w:t>À cet égard</w:t>
      </w:r>
      <w:r w:rsidRPr="00CE76DB">
        <w:rPr>
          <w:rFonts w:ascii="Marianne" w:hAnsi="Marianne"/>
          <w:b/>
          <w:bCs/>
          <w:color w:val="1F3864" w:themeColor="accent1" w:themeShade="80"/>
        </w:rPr>
        <w:t xml:space="preserve">, </w:t>
      </w:r>
      <w:r w:rsidRPr="0093637F">
        <w:rPr>
          <w:rFonts w:ascii="Marianne" w:hAnsi="Marianne"/>
          <w:b/>
          <w:bCs/>
          <w:color w:val="1F3864" w:themeColor="accent1" w:themeShade="80"/>
          <w:u w:val="single"/>
        </w:rPr>
        <w:t>une formation à l'expertise est obligatoire pour être inscrit</w:t>
      </w:r>
      <w:r w:rsidRPr="0093637F">
        <w:rPr>
          <w:rFonts w:ascii="Marianne" w:hAnsi="Marianne"/>
          <w:b/>
          <w:bCs/>
          <w:color w:val="1F3864" w:themeColor="accent1" w:themeShade="80"/>
        </w:rPr>
        <w:t xml:space="preserve"> (Décret n°2023-468 du 16 juin 2023 article 2 9°)</w:t>
      </w:r>
    </w:p>
    <w:p w14:paraId="061CCEB7" w14:textId="77777777" w:rsidR="00621478" w:rsidRPr="00C6241F" w:rsidRDefault="00621478" w:rsidP="0093637F">
      <w:pPr>
        <w:spacing w:after="0"/>
        <w:jc w:val="both"/>
        <w:rPr>
          <w:rFonts w:ascii="Marianne" w:hAnsi="Marianne"/>
        </w:rPr>
      </w:pPr>
    </w:p>
    <w:p w14:paraId="7F34ACFB" w14:textId="008F4C4E" w:rsidR="00621478" w:rsidRPr="00C6241F" w:rsidRDefault="003162B3" w:rsidP="00FB3BC1">
      <w:pPr>
        <w:spacing w:after="0"/>
        <w:jc w:val="both"/>
        <w:rPr>
          <w:rFonts w:ascii="Marianne" w:hAnsi="Marianne"/>
          <w:b/>
          <w:bCs/>
        </w:rPr>
      </w:pPr>
      <w:r w:rsidRPr="00C6241F">
        <w:rPr>
          <w:rFonts w:ascii="Marianne" w:hAnsi="Marianne"/>
          <w:b/>
          <w:bCs/>
        </w:rPr>
        <w:t>V</w:t>
      </w:r>
      <w:r w:rsidR="00A364ED" w:rsidRPr="00C6241F">
        <w:rPr>
          <w:rFonts w:ascii="Marianne" w:hAnsi="Marianne"/>
          <w:b/>
          <w:bCs/>
        </w:rPr>
        <w:t xml:space="preserve">ous trouverez des informations utiles auprès de la Compagnie des experts près la cour d'appel de </w:t>
      </w:r>
      <w:r w:rsidR="00621478" w:rsidRPr="00C6241F">
        <w:rPr>
          <w:rFonts w:ascii="Marianne" w:hAnsi="Marianne"/>
          <w:b/>
          <w:bCs/>
        </w:rPr>
        <w:t xml:space="preserve">Douai sur le site de la compagnie : </w:t>
      </w:r>
      <w:hyperlink r:id="rId9" w:history="1">
        <w:r w:rsidR="00621478" w:rsidRPr="00FB3BC1">
          <w:rPr>
            <w:rStyle w:val="Lienhypertexte"/>
            <w:rFonts w:ascii="Marianne" w:hAnsi="Marianne"/>
            <w:b/>
            <w:bCs/>
            <w:color w:val="auto"/>
          </w:rPr>
          <w:t>https://www.cecad.org</w:t>
        </w:r>
      </w:hyperlink>
    </w:p>
    <w:p w14:paraId="5FF24C7A" w14:textId="77777777" w:rsidR="0093637F" w:rsidRDefault="0093637F" w:rsidP="0093637F">
      <w:pPr>
        <w:spacing w:after="0"/>
        <w:jc w:val="both"/>
        <w:rPr>
          <w:rFonts w:ascii="Marianne" w:hAnsi="Marianne"/>
          <w:b/>
          <w:bCs/>
        </w:rPr>
      </w:pPr>
    </w:p>
    <w:p w14:paraId="763003C6" w14:textId="1C8A208E" w:rsidR="003162B3" w:rsidRPr="00C6241F" w:rsidRDefault="00621478" w:rsidP="00FB3BC1">
      <w:pPr>
        <w:spacing w:after="0"/>
        <w:jc w:val="both"/>
        <w:rPr>
          <w:rFonts w:ascii="Marianne" w:hAnsi="Marianne"/>
          <w:b/>
          <w:bCs/>
        </w:rPr>
      </w:pPr>
      <w:r w:rsidRPr="00C6241F">
        <w:rPr>
          <w:rFonts w:ascii="Marianne" w:hAnsi="Marianne"/>
          <w:b/>
          <w:bCs/>
        </w:rPr>
        <w:t xml:space="preserve">Adresse mail de la compagnie : </w:t>
      </w:r>
      <w:hyperlink r:id="rId10" w:history="1">
        <w:r w:rsidR="00FB3BC1" w:rsidRPr="00FB3BC1">
          <w:rPr>
            <w:rStyle w:val="Lienhypertexte"/>
            <w:rFonts w:ascii="Marianne" w:hAnsi="Marianne"/>
            <w:b/>
            <w:bCs/>
            <w:color w:val="auto"/>
          </w:rPr>
          <w:t>secretariat@cecad.org</w:t>
        </w:r>
      </w:hyperlink>
    </w:p>
    <w:p w14:paraId="4AAAD1F6" w14:textId="77777777" w:rsidR="00621478" w:rsidRPr="00C6241F" w:rsidRDefault="00621478" w:rsidP="0093637F">
      <w:pPr>
        <w:spacing w:after="0"/>
        <w:jc w:val="both"/>
        <w:rPr>
          <w:rFonts w:ascii="Marianne" w:hAnsi="Marianne"/>
        </w:rPr>
      </w:pPr>
    </w:p>
    <w:p w14:paraId="11EA8918" w14:textId="19312FDC" w:rsidR="00EB0C35" w:rsidRPr="0093637F" w:rsidRDefault="0093637F" w:rsidP="0093637F">
      <w:pPr>
        <w:spacing w:after="0"/>
        <w:jc w:val="both"/>
        <w:rPr>
          <w:rFonts w:ascii="Marianne" w:hAnsi="Marianne"/>
          <w:b/>
          <w:bCs/>
        </w:rPr>
      </w:pPr>
      <w:r w:rsidRPr="0093637F">
        <w:rPr>
          <w:rFonts w:ascii="Marianne" w:hAnsi="Marianne"/>
          <w:b/>
          <w:bCs/>
        </w:rPr>
        <w:t>Le rôle de l’expert</w:t>
      </w:r>
    </w:p>
    <w:p w14:paraId="5CC84235" w14:textId="3F35E6F8" w:rsidR="003162B3" w:rsidRPr="00C6241F" w:rsidRDefault="00A364ED" w:rsidP="0093637F">
      <w:pPr>
        <w:spacing w:after="0"/>
        <w:jc w:val="both"/>
        <w:rPr>
          <w:rFonts w:ascii="Marianne" w:hAnsi="Marianne"/>
        </w:rPr>
      </w:pPr>
      <w:r w:rsidRPr="00C6241F">
        <w:rPr>
          <w:rFonts w:ascii="Marianne" w:hAnsi="Marianne"/>
        </w:rPr>
        <w:t xml:space="preserve">L'expertise judiciaire est une mesure d'investigation technique confiée par un juge, à un professionnel compétent et reconnu. Les conclusions de l'expert ne lient cependant jamais le juge. </w:t>
      </w:r>
    </w:p>
    <w:p w14:paraId="4C9AC56D" w14:textId="77777777" w:rsidR="00EB0C35" w:rsidRPr="00C6241F" w:rsidRDefault="00EB0C35" w:rsidP="0093637F">
      <w:pPr>
        <w:spacing w:after="0"/>
        <w:ind w:left="1416" w:firstLine="708"/>
        <w:jc w:val="both"/>
        <w:rPr>
          <w:rFonts w:ascii="Marianne" w:hAnsi="Marianne"/>
        </w:rPr>
      </w:pPr>
    </w:p>
    <w:p w14:paraId="4089C132" w14:textId="4C609CA1" w:rsidR="0086590B" w:rsidRPr="0093637F" w:rsidRDefault="00A364ED" w:rsidP="0093637F">
      <w:pPr>
        <w:pStyle w:val="Paragraphedeliste"/>
        <w:numPr>
          <w:ilvl w:val="0"/>
          <w:numId w:val="2"/>
        </w:numPr>
        <w:spacing w:after="0"/>
        <w:jc w:val="both"/>
        <w:rPr>
          <w:rFonts w:ascii="Marianne" w:hAnsi="Marianne"/>
          <w:i/>
          <w:iCs/>
        </w:rPr>
      </w:pPr>
      <w:r w:rsidRPr="0093637F">
        <w:rPr>
          <w:rFonts w:ascii="Marianne" w:hAnsi="Marianne"/>
          <w:b/>
          <w:bCs/>
          <w:i/>
          <w:iCs/>
        </w:rPr>
        <w:t>En matière civile</w:t>
      </w:r>
    </w:p>
    <w:p w14:paraId="78797298" w14:textId="52F8D220" w:rsidR="003162B3" w:rsidRPr="00C6241F" w:rsidRDefault="00A364ED" w:rsidP="0093637F">
      <w:pPr>
        <w:spacing w:after="0"/>
        <w:jc w:val="both"/>
        <w:rPr>
          <w:rFonts w:ascii="Marianne" w:hAnsi="Marianne"/>
        </w:rPr>
      </w:pPr>
      <w:r w:rsidRPr="00C6241F">
        <w:rPr>
          <w:rFonts w:ascii="Marianne" w:hAnsi="Marianne"/>
        </w:rPr>
        <w:t xml:space="preserve">Les articles 263 à 284-1 du code de procédure civile prévoient que l'expertise ne peut être ordonnée que dans le cas où des constatations ou une consultation établies par un technicien ne suffisent pas à l'éclairer ; elle constitue dès lors un des moyens d'administration judiciaire de la preuve. L'expertise est ordonnée d'office par le juge ou à la demande des parties. L'expert est commis par une ordonnance ou un jugement qui détaille sa mission et ordonne la consignation par l'une et/ou l'autre des parties d'un montant à valoir sur la rémunération de l'expert (sauf si l'une des parties bénéficie </w:t>
      </w:r>
      <w:r w:rsidRPr="00C6241F">
        <w:rPr>
          <w:rFonts w:ascii="Marianne" w:hAnsi="Marianne"/>
        </w:rPr>
        <w:lastRenderedPageBreak/>
        <w:t xml:space="preserve">de l'aide juridictionnelle). Les opérations d'expertise ne débuteront qu'après cette consignation et doivent s'achever dans le délai indiqué par le juge. Les honoraires de l'expert seront </w:t>
      </w:r>
      <w:r w:rsidRPr="00C6241F">
        <w:rPr>
          <w:rFonts w:ascii="Marianne" w:hAnsi="Marianne"/>
          <w:i/>
          <w:iCs/>
        </w:rPr>
        <w:t>in fine</w:t>
      </w:r>
      <w:r w:rsidRPr="00C6241F">
        <w:rPr>
          <w:rFonts w:ascii="Marianne" w:hAnsi="Marianne"/>
        </w:rPr>
        <w:t xml:space="preserve"> fixés par le juge qui l'a désigné, dans une ordonnance de taxation. Ils sont compris dans les dépens et pèseront dès lors sur la partie perdante. Les opérations sont contradictoires : toutes les parties au litige doivent être convoquées à l'ensemble des opérations d'expertise, elles ont la possibilité d'adresser leurs observations à l'expert par voie de dire et elles sont destinataires du rapport d'expertise. </w:t>
      </w:r>
    </w:p>
    <w:p w14:paraId="2EA1E8DF" w14:textId="146F8549" w:rsidR="0086590B" w:rsidRPr="00C6241F" w:rsidRDefault="0086590B" w:rsidP="0093637F">
      <w:pPr>
        <w:spacing w:after="0"/>
        <w:jc w:val="both"/>
        <w:rPr>
          <w:rFonts w:ascii="Marianne" w:hAnsi="Marianne"/>
        </w:rPr>
      </w:pPr>
    </w:p>
    <w:p w14:paraId="64F7A760" w14:textId="259AF802" w:rsidR="0086590B" w:rsidRPr="0093637F" w:rsidRDefault="00A364ED" w:rsidP="0093637F">
      <w:pPr>
        <w:pStyle w:val="Paragraphedeliste"/>
        <w:numPr>
          <w:ilvl w:val="0"/>
          <w:numId w:val="2"/>
        </w:numPr>
        <w:spacing w:after="0"/>
        <w:jc w:val="both"/>
        <w:rPr>
          <w:rFonts w:ascii="Marianne" w:hAnsi="Marianne"/>
          <w:b/>
          <w:bCs/>
          <w:i/>
          <w:iCs/>
        </w:rPr>
      </w:pPr>
      <w:r w:rsidRPr="0093637F">
        <w:rPr>
          <w:rFonts w:ascii="Marianne" w:hAnsi="Marianne"/>
          <w:b/>
          <w:bCs/>
          <w:i/>
          <w:iCs/>
        </w:rPr>
        <w:t>En matière pénale</w:t>
      </w:r>
    </w:p>
    <w:p w14:paraId="0A8153DA" w14:textId="13454F15" w:rsidR="00A364ED" w:rsidRPr="00C6241F" w:rsidRDefault="00A364ED" w:rsidP="0093637F">
      <w:pPr>
        <w:spacing w:after="0"/>
        <w:jc w:val="both"/>
        <w:rPr>
          <w:rFonts w:ascii="Marianne" w:hAnsi="Marianne"/>
        </w:rPr>
      </w:pPr>
      <w:r w:rsidRPr="00C6241F">
        <w:rPr>
          <w:rFonts w:ascii="Marianne" w:hAnsi="Marianne"/>
        </w:rPr>
        <w:t>Les articles 156 à 169-1 du code de procédure pénale prévoient que toute juridiction d'instruction ou de jugement peut, à la demande du ministère public, d'office, ou à la demande des parties, ordonner une expertise dans le cas où se pose une question d'ordre technique. Sauf exception et décision motivée, les experts doivent être choisis sur la liste nationale ou sur une liste de cour d'appel. La décision commettant l'expert lui impartit un délai pour remplir sa mission, ce délai ne pouvant être prorogé que sur demande de l'expert et par décision motivée rendue par le magistrat ou la juridiction qui l'a désigné. La rémunération de l'expert est à la charge du Trésor Public.</w:t>
      </w:r>
    </w:p>
    <w:p w14:paraId="5B47A199" w14:textId="660F4F95" w:rsidR="00A364ED" w:rsidRPr="00C6241F" w:rsidRDefault="00A364ED" w:rsidP="00783C87">
      <w:pPr>
        <w:jc w:val="both"/>
        <w:rPr>
          <w:rFonts w:ascii="Marianne" w:hAnsi="Marianne"/>
        </w:rPr>
      </w:pPr>
    </w:p>
    <w:p w14:paraId="7D850DD0" w14:textId="4C8E0CD6" w:rsidR="00332420" w:rsidRDefault="00FB3BC1" w:rsidP="0093637F">
      <w:pPr>
        <w:spacing w:after="0"/>
        <w:jc w:val="both"/>
        <w:rPr>
          <w:rFonts w:ascii="Marianne" w:hAnsi="Marianne" w:cs="Times New Roman"/>
        </w:rPr>
      </w:pPr>
      <w:r>
        <w:rPr>
          <w:rFonts w:ascii="Marianne" w:hAnsi="Marianne" w:cs="Times New Roman"/>
        </w:rPr>
        <w:t>Si</w:t>
      </w:r>
      <w:r w:rsidR="00840D5B" w:rsidRPr="00C6241F">
        <w:rPr>
          <w:rFonts w:ascii="Marianne" w:hAnsi="Marianne" w:cs="Times New Roman"/>
        </w:rPr>
        <w:t xml:space="preserve"> vous souhaitez obtenir des renseignements complémentaires nous vous invitons à consulter la Compagnie des experts judiciaires près la cour d’appel de DOUAI (</w:t>
      </w:r>
      <w:hyperlink r:id="rId11" w:history="1">
        <w:r w:rsidR="00840D5B" w:rsidRPr="00C6241F">
          <w:rPr>
            <w:rFonts w:ascii="Marianne" w:hAnsi="Marianne" w:cs="Times New Roman"/>
          </w:rPr>
          <w:t>Compagnie des experts près la Cour d'appel de Douai - CECAD</w:t>
        </w:r>
      </w:hyperlink>
      <w:r w:rsidR="00EB0C35" w:rsidRPr="00C6241F">
        <w:rPr>
          <w:rFonts w:ascii="Marianne" w:hAnsi="Marianne" w:cs="Times New Roman"/>
        </w:rPr>
        <w:t xml:space="preserve"> courriel </w:t>
      </w:r>
      <w:hyperlink r:id="rId12" w:history="1">
        <w:r w:rsidR="00EB0C35" w:rsidRPr="00C6241F">
          <w:rPr>
            <w:rStyle w:val="Lienhypertexte"/>
            <w:rFonts w:ascii="Marianne" w:hAnsi="Marianne" w:cs="Times New Roman"/>
          </w:rPr>
          <w:t>secretariat@cecad.org</w:t>
        </w:r>
      </w:hyperlink>
      <w:r w:rsidR="00840D5B" w:rsidRPr="00C6241F">
        <w:rPr>
          <w:rFonts w:ascii="Marianne" w:hAnsi="Marianne" w:cs="Times New Roman"/>
        </w:rPr>
        <w:t>)</w:t>
      </w:r>
      <w:r w:rsidR="00332420">
        <w:rPr>
          <w:rFonts w:ascii="Marianne" w:hAnsi="Marianne" w:cs="Times New Roman"/>
        </w:rPr>
        <w:t>.</w:t>
      </w:r>
    </w:p>
    <w:p w14:paraId="0ABED8C2" w14:textId="77777777" w:rsidR="002014EB" w:rsidRDefault="002014EB" w:rsidP="002014EB">
      <w:pPr>
        <w:spacing w:after="0"/>
        <w:rPr>
          <w:rFonts w:ascii="Marianne" w:hAnsi="Marianne"/>
        </w:rPr>
      </w:pPr>
    </w:p>
    <w:p w14:paraId="38611D8A" w14:textId="10077FCF" w:rsidR="002014EB" w:rsidRPr="002014EB" w:rsidRDefault="002014EB" w:rsidP="002014EB">
      <w:pPr>
        <w:spacing w:after="0"/>
        <w:rPr>
          <w:rFonts w:ascii="Marianne" w:hAnsi="Marianne"/>
        </w:rPr>
        <w:sectPr w:rsidR="002014EB" w:rsidRPr="002014EB" w:rsidSect="00332420">
          <w:footerReference w:type="default" r:id="rId13"/>
          <w:type w:val="continuous"/>
          <w:pgSz w:w="11906" w:h="16838"/>
          <w:pgMar w:top="1417" w:right="1417" w:bottom="1417" w:left="1417" w:header="708" w:footer="708" w:gutter="0"/>
          <w:cols w:space="709"/>
          <w:docGrid w:linePitch="360"/>
        </w:sectPr>
      </w:pPr>
    </w:p>
    <w:p w14:paraId="09B91493" w14:textId="74AD5B6A" w:rsidR="00E569FE" w:rsidRPr="00C6241F" w:rsidRDefault="00E569FE" w:rsidP="0093637F">
      <w:pPr>
        <w:shd w:val="clear" w:color="auto" w:fill="FFFFFF" w:themeFill="background1"/>
        <w:spacing w:after="0"/>
        <w:jc w:val="both"/>
        <w:rPr>
          <w:rFonts w:ascii="Marianne" w:hAnsi="Marianne"/>
        </w:rPr>
      </w:pPr>
    </w:p>
    <w:p w14:paraId="71560F6D" w14:textId="2DBC14A6" w:rsidR="002014EB" w:rsidRDefault="002014EB" w:rsidP="0093637F">
      <w:pPr>
        <w:shd w:val="clear" w:color="auto" w:fill="D9E2F3" w:themeFill="accent1" w:themeFillTint="33"/>
        <w:spacing w:after="0"/>
        <w:jc w:val="both"/>
        <w:rPr>
          <w:rFonts w:ascii="Marianne" w:hAnsi="Marianne" w:cs="Times New Roman"/>
        </w:rPr>
        <w:sectPr w:rsidR="002014EB" w:rsidSect="00332420">
          <w:type w:val="continuous"/>
          <w:pgSz w:w="11906" w:h="16838"/>
          <w:pgMar w:top="1417" w:right="1417" w:bottom="1417" w:left="1417" w:header="708" w:footer="708" w:gutter="0"/>
          <w:cols w:space="720"/>
          <w:docGrid w:linePitch="360"/>
        </w:sectPr>
      </w:pPr>
    </w:p>
    <w:p w14:paraId="017D5FB9" w14:textId="65A2C78C" w:rsidR="009C12D0" w:rsidRPr="002014EB" w:rsidRDefault="009C12D0" w:rsidP="002014EB">
      <w:pPr>
        <w:shd w:val="clear" w:color="auto" w:fill="D9E2F3" w:themeFill="accent1" w:themeFillTint="33"/>
        <w:spacing w:after="0"/>
        <w:jc w:val="center"/>
        <w:rPr>
          <w:rFonts w:ascii="Marianne" w:hAnsi="Marianne" w:cs="Times New Roman"/>
          <w:b/>
          <w:bCs/>
          <w:sz w:val="24"/>
          <w:szCs w:val="24"/>
        </w:rPr>
      </w:pPr>
      <w:r w:rsidRPr="002014EB">
        <w:rPr>
          <w:rFonts w:ascii="Marianne" w:hAnsi="Marianne" w:cs="Times New Roman"/>
          <w:b/>
          <w:bCs/>
          <w:sz w:val="24"/>
          <w:szCs w:val="24"/>
        </w:rPr>
        <w:t>Justificatif du suivi d'une formation à l'expertise</w:t>
      </w:r>
    </w:p>
    <w:p w14:paraId="409B95D3" w14:textId="5BD47AF1" w:rsidR="009C12D0" w:rsidRPr="00C6241F" w:rsidRDefault="009C12D0" w:rsidP="002014EB">
      <w:pPr>
        <w:spacing w:after="0"/>
        <w:jc w:val="center"/>
        <w:rPr>
          <w:rFonts w:ascii="Marianne" w:hAnsi="Marianne" w:cs="Times New Roman"/>
          <w:b/>
          <w:bCs/>
          <w:color w:val="FF0000"/>
        </w:rPr>
      </w:pPr>
      <w:r w:rsidRPr="00C6241F">
        <w:rPr>
          <w:rFonts w:ascii="Marianne" w:hAnsi="Marianne" w:cs="Times New Roman"/>
          <w:b/>
          <w:bCs/>
          <w:color w:val="FF0000"/>
        </w:rPr>
        <w:t>A peine d’irrecevabilité de la candidature</w:t>
      </w:r>
    </w:p>
    <w:p w14:paraId="2BCFA0C3" w14:textId="77777777" w:rsidR="009C12D0" w:rsidRPr="00C6241F" w:rsidRDefault="009C12D0" w:rsidP="0093637F">
      <w:pPr>
        <w:spacing w:after="0"/>
        <w:jc w:val="both"/>
        <w:rPr>
          <w:rFonts w:ascii="Marianne" w:hAnsi="Marianne" w:cs="Times New Roman"/>
        </w:rPr>
      </w:pPr>
    </w:p>
    <w:p w14:paraId="57571BE6" w14:textId="1719F3AD" w:rsidR="009C12D0" w:rsidRDefault="009C12D0" w:rsidP="0093637F">
      <w:pPr>
        <w:spacing w:after="0"/>
        <w:jc w:val="both"/>
        <w:rPr>
          <w:rFonts w:ascii="Marianne" w:hAnsi="Marianne" w:cs="Times New Roman"/>
        </w:rPr>
      </w:pPr>
      <w:r w:rsidRPr="00C6241F">
        <w:rPr>
          <w:rFonts w:ascii="Marianne" w:hAnsi="Marianne" w:cs="Times New Roman"/>
        </w:rPr>
        <w:t>L’article 2</w:t>
      </w:r>
      <w:r w:rsidR="00AD45D7">
        <w:rPr>
          <w:rFonts w:ascii="Marianne" w:hAnsi="Marianne" w:cs="Times New Roman"/>
        </w:rPr>
        <w:t xml:space="preserve"> </w:t>
      </w:r>
      <w:r w:rsidRPr="00C6241F">
        <w:rPr>
          <w:rFonts w:ascii="Marianne" w:hAnsi="Marianne" w:cs="Times New Roman"/>
        </w:rPr>
        <w:t>9° du décret du 23 décembre 2024, impose aux candidats à l’inscription de justifier d’une formation à l'expertise.</w:t>
      </w:r>
    </w:p>
    <w:p w14:paraId="705AB3E9" w14:textId="77777777" w:rsidR="002014EB" w:rsidRPr="00C6241F" w:rsidRDefault="002014EB" w:rsidP="0093637F">
      <w:pPr>
        <w:spacing w:after="0"/>
        <w:jc w:val="both"/>
        <w:rPr>
          <w:rFonts w:ascii="Marianne" w:hAnsi="Marianne" w:cs="Times New Roman"/>
        </w:rPr>
      </w:pPr>
    </w:p>
    <w:p w14:paraId="6B642265" w14:textId="62B4E0B0" w:rsidR="009C12D0" w:rsidRDefault="009C12D0" w:rsidP="0093637F">
      <w:pPr>
        <w:spacing w:after="0"/>
        <w:jc w:val="both"/>
        <w:rPr>
          <w:rFonts w:ascii="Marianne" w:hAnsi="Marianne" w:cs="Times New Roman"/>
          <w:b/>
          <w:bCs/>
          <w:i/>
          <w:iCs/>
        </w:rPr>
      </w:pPr>
      <w:r w:rsidRPr="00C6241F">
        <w:rPr>
          <w:rFonts w:ascii="Marianne" w:hAnsi="Marianne" w:cs="Times New Roman"/>
          <w:b/>
          <w:bCs/>
          <w:i/>
          <w:iCs/>
        </w:rPr>
        <w:t>La formation à l’expertise judiciaire est indispensable pour pouvoir déposer un dossier de candidature.</w:t>
      </w:r>
    </w:p>
    <w:p w14:paraId="501CA145" w14:textId="77777777" w:rsidR="002014EB" w:rsidRPr="00C6241F" w:rsidRDefault="002014EB" w:rsidP="0093637F">
      <w:pPr>
        <w:spacing w:after="0"/>
        <w:jc w:val="both"/>
        <w:rPr>
          <w:rFonts w:ascii="Marianne" w:hAnsi="Marianne" w:cs="Times New Roman"/>
          <w:b/>
          <w:bCs/>
          <w:i/>
          <w:iCs/>
        </w:rPr>
      </w:pPr>
    </w:p>
    <w:p w14:paraId="0B5B715F" w14:textId="7563AC07" w:rsidR="009C12D0" w:rsidRDefault="009C12D0" w:rsidP="0093637F">
      <w:pPr>
        <w:spacing w:after="0"/>
        <w:jc w:val="both"/>
        <w:rPr>
          <w:rFonts w:ascii="Marianne" w:hAnsi="Marianne" w:cs="Times New Roman"/>
        </w:rPr>
      </w:pPr>
      <w:r w:rsidRPr="00C6241F">
        <w:rPr>
          <w:rFonts w:ascii="Marianne" w:hAnsi="Marianne" w:cs="Times New Roman"/>
        </w:rPr>
        <w:t>Cette formation doit comporter une formation sur les principes directeurs du procès, les règles procédurales applicables aux mesures d’instruction et une formation sur la déontologie.</w:t>
      </w:r>
    </w:p>
    <w:p w14:paraId="0BCB9231" w14:textId="77777777" w:rsidR="002014EB" w:rsidRPr="00C6241F" w:rsidRDefault="002014EB" w:rsidP="0093637F">
      <w:pPr>
        <w:spacing w:after="0"/>
        <w:jc w:val="both"/>
        <w:rPr>
          <w:rFonts w:ascii="Marianne" w:hAnsi="Marianne" w:cs="Times New Roman"/>
        </w:rPr>
      </w:pPr>
    </w:p>
    <w:p w14:paraId="7586488F" w14:textId="526D67D6" w:rsidR="00170E75" w:rsidRDefault="009C12D0" w:rsidP="0093637F">
      <w:pPr>
        <w:spacing w:after="0"/>
        <w:jc w:val="both"/>
        <w:rPr>
          <w:rFonts w:ascii="Marianne" w:hAnsi="Marianne"/>
          <w:b/>
          <w:bCs/>
          <w:i/>
          <w:iCs/>
        </w:rPr>
      </w:pPr>
      <w:r w:rsidRPr="00C6241F">
        <w:rPr>
          <w:rFonts w:ascii="Marianne" w:hAnsi="Marianne" w:cs="Times New Roman"/>
          <w:b/>
          <w:bCs/>
          <w:color w:val="FF0000"/>
        </w:rPr>
        <w:t>L’</w:t>
      </w:r>
      <w:r w:rsidR="00BC4CD1">
        <w:rPr>
          <w:rFonts w:ascii="Marianne" w:hAnsi="Marianne" w:cs="Times New Roman"/>
          <w:b/>
          <w:bCs/>
          <w:color w:val="FF0000"/>
        </w:rPr>
        <w:t>a</w:t>
      </w:r>
      <w:r w:rsidRPr="00C6241F">
        <w:rPr>
          <w:rFonts w:ascii="Marianne" w:hAnsi="Marianne" w:cs="Times New Roman"/>
          <w:b/>
          <w:bCs/>
          <w:color w:val="FF0000"/>
        </w:rPr>
        <w:t xml:space="preserve">ttestation de formation à l’expertise </w:t>
      </w:r>
      <w:r w:rsidR="00C23A80" w:rsidRPr="00C6241F">
        <w:rPr>
          <w:rFonts w:ascii="Marianne" w:hAnsi="Marianne" w:cs="Times New Roman"/>
          <w:b/>
          <w:bCs/>
          <w:color w:val="FF0000"/>
        </w:rPr>
        <w:t xml:space="preserve">est </w:t>
      </w:r>
      <w:r w:rsidRPr="00C6241F">
        <w:rPr>
          <w:rFonts w:ascii="Marianne" w:hAnsi="Marianne" w:cs="Times New Roman"/>
          <w:b/>
          <w:bCs/>
          <w:color w:val="FF0000"/>
        </w:rPr>
        <w:t>à fournir lors de la demande d’inscription</w:t>
      </w:r>
      <w:r w:rsidR="002014EB">
        <w:rPr>
          <w:rFonts w:ascii="Marianne" w:hAnsi="Marianne" w:cs="Times New Roman"/>
          <w:b/>
          <w:bCs/>
          <w:color w:val="FF0000"/>
        </w:rPr>
        <w:t>.</w:t>
      </w:r>
    </w:p>
    <w:sectPr w:rsidR="00170E75" w:rsidSect="00402805">
      <w:type w:val="continuous"/>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56C39" w14:textId="77777777" w:rsidR="002376EE" w:rsidRDefault="002376EE" w:rsidP="001D76A4">
      <w:pPr>
        <w:spacing w:after="0" w:line="240" w:lineRule="auto"/>
      </w:pPr>
      <w:r>
        <w:separator/>
      </w:r>
    </w:p>
  </w:endnote>
  <w:endnote w:type="continuationSeparator" w:id="0">
    <w:p w14:paraId="5B7F8C16" w14:textId="77777777" w:rsidR="002376EE" w:rsidRDefault="002376EE" w:rsidP="001D7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195D" w14:textId="36478EFD" w:rsidR="001D76A4" w:rsidRDefault="001D76A4">
    <w:pPr>
      <w:pStyle w:val="Pieddepage"/>
    </w:pPr>
  </w:p>
  <w:p w14:paraId="72455E3E" w14:textId="6A3D64A9" w:rsidR="001D76A4" w:rsidRDefault="001D76A4">
    <w:pPr>
      <w:pStyle w:val="Pieddepage"/>
    </w:pPr>
  </w:p>
  <w:p w14:paraId="504B9636" w14:textId="7ECE8841" w:rsidR="001D76A4" w:rsidRDefault="001D76A4">
    <w:pPr>
      <w:pStyle w:val="Pieddepage"/>
    </w:pPr>
  </w:p>
  <w:p w14:paraId="544E225E" w14:textId="77777777" w:rsidR="001D76A4" w:rsidRDefault="001D76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22ACA" w14:textId="77777777" w:rsidR="002376EE" w:rsidRDefault="002376EE" w:rsidP="001D76A4">
      <w:pPr>
        <w:spacing w:after="0" w:line="240" w:lineRule="auto"/>
      </w:pPr>
      <w:r>
        <w:separator/>
      </w:r>
    </w:p>
  </w:footnote>
  <w:footnote w:type="continuationSeparator" w:id="0">
    <w:p w14:paraId="40ED6EF6" w14:textId="77777777" w:rsidR="002376EE" w:rsidRDefault="002376EE" w:rsidP="001D7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3AFD"/>
    <w:multiLevelType w:val="hybridMultilevel"/>
    <w:tmpl w:val="810E7CD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E7581C"/>
    <w:multiLevelType w:val="hybridMultilevel"/>
    <w:tmpl w:val="7090E894"/>
    <w:lvl w:ilvl="0" w:tplc="040C000D">
      <w:start w:val="1"/>
      <w:numFmt w:val="bullet"/>
      <w:lvlText w:val=""/>
      <w:lvlJc w:val="left"/>
      <w:pPr>
        <w:ind w:left="262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355110"/>
    <w:multiLevelType w:val="hybridMultilevel"/>
    <w:tmpl w:val="77D81BE0"/>
    <w:lvl w:ilvl="0" w:tplc="57942D9A">
      <w:start w:val="1"/>
      <w:numFmt w:val="upperLetter"/>
      <w:lvlText w:val="%1)"/>
      <w:lvlJc w:val="left"/>
      <w:pPr>
        <w:ind w:left="720" w:hanging="360"/>
      </w:pPr>
      <w:rPr>
        <w:rFonts w:hint="default"/>
      </w:rPr>
    </w:lvl>
    <w:lvl w:ilvl="1" w:tplc="C0E47644">
      <w:numFmt w:val="bullet"/>
      <w:lvlText w:val="•"/>
      <w:lvlJc w:val="left"/>
      <w:pPr>
        <w:ind w:left="1440" w:hanging="360"/>
      </w:pPr>
      <w:rPr>
        <w:rFonts w:ascii="Marianne" w:eastAsiaTheme="minorHAnsi" w:hAnsi="Marianne"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FA209F4"/>
    <w:multiLevelType w:val="hybridMultilevel"/>
    <w:tmpl w:val="274E6298"/>
    <w:lvl w:ilvl="0" w:tplc="1F0A09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D87F65"/>
    <w:multiLevelType w:val="hybridMultilevel"/>
    <w:tmpl w:val="615C80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CB3F7F"/>
    <w:multiLevelType w:val="hybridMultilevel"/>
    <w:tmpl w:val="597416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3175E3"/>
    <w:multiLevelType w:val="hybridMultilevel"/>
    <w:tmpl w:val="A7E0B6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BC6E03"/>
    <w:multiLevelType w:val="hybridMultilevel"/>
    <w:tmpl w:val="72B648D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BD0762"/>
    <w:multiLevelType w:val="hybridMultilevel"/>
    <w:tmpl w:val="7E760EB8"/>
    <w:lvl w:ilvl="0" w:tplc="1B8E643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09A26B7"/>
    <w:multiLevelType w:val="hybridMultilevel"/>
    <w:tmpl w:val="0B56598A"/>
    <w:lvl w:ilvl="0" w:tplc="0E9CC766">
      <w:start w:val="1"/>
      <w:numFmt w:val="bullet"/>
      <w:lvlText w:val=""/>
      <w:lvlJc w:val="left"/>
      <w:pPr>
        <w:ind w:left="720" w:hanging="360"/>
      </w:pPr>
      <w:rPr>
        <w:rFonts w:ascii="Wingdings" w:hAnsi="Wingdings" w:hint="default"/>
        <w:spacing w:val="20"/>
        <w:kern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7847E6"/>
    <w:multiLevelType w:val="hybridMultilevel"/>
    <w:tmpl w:val="90EE8D58"/>
    <w:lvl w:ilvl="0" w:tplc="8B8049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DEC09B2"/>
    <w:multiLevelType w:val="hybridMultilevel"/>
    <w:tmpl w:val="4E0450A6"/>
    <w:lvl w:ilvl="0" w:tplc="62C0D4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4A3A5F"/>
    <w:multiLevelType w:val="hybridMultilevel"/>
    <w:tmpl w:val="2572FC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2D328E"/>
    <w:multiLevelType w:val="hybridMultilevel"/>
    <w:tmpl w:val="DA5A35B0"/>
    <w:lvl w:ilvl="0" w:tplc="09BE114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C3738D2"/>
    <w:multiLevelType w:val="hybridMultilevel"/>
    <w:tmpl w:val="3430A6DE"/>
    <w:lvl w:ilvl="0" w:tplc="0E9CC766">
      <w:start w:val="1"/>
      <w:numFmt w:val="bullet"/>
      <w:lvlText w:val=""/>
      <w:lvlJc w:val="left"/>
      <w:pPr>
        <w:ind w:left="1080" w:hanging="360"/>
      </w:pPr>
      <w:rPr>
        <w:rFonts w:ascii="Wingdings" w:hAnsi="Wingdings" w:hint="default"/>
        <w:spacing w:val="20"/>
        <w:kern w:val="0"/>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1"/>
  </w:num>
  <w:num w:numId="2">
    <w:abstractNumId w:val="4"/>
  </w:num>
  <w:num w:numId="3">
    <w:abstractNumId w:val="6"/>
  </w:num>
  <w:num w:numId="4">
    <w:abstractNumId w:val="7"/>
  </w:num>
  <w:num w:numId="5">
    <w:abstractNumId w:val="10"/>
  </w:num>
  <w:num w:numId="6">
    <w:abstractNumId w:val="8"/>
  </w:num>
  <w:num w:numId="7">
    <w:abstractNumId w:val="13"/>
  </w:num>
  <w:num w:numId="8">
    <w:abstractNumId w:val="3"/>
  </w:num>
  <w:num w:numId="9">
    <w:abstractNumId w:val="1"/>
  </w:num>
  <w:num w:numId="10">
    <w:abstractNumId w:val="12"/>
  </w:num>
  <w:num w:numId="11">
    <w:abstractNumId w:val="2"/>
  </w:num>
  <w:num w:numId="12">
    <w:abstractNumId w:val="5"/>
  </w:num>
  <w:num w:numId="13">
    <w:abstractNumId w:val="14"/>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6E"/>
    <w:rsid w:val="00056513"/>
    <w:rsid w:val="00070577"/>
    <w:rsid w:val="000E4332"/>
    <w:rsid w:val="00146685"/>
    <w:rsid w:val="00170E75"/>
    <w:rsid w:val="001B5A6B"/>
    <w:rsid w:val="001C007A"/>
    <w:rsid w:val="001D6BEF"/>
    <w:rsid w:val="001D76A4"/>
    <w:rsid w:val="002014EB"/>
    <w:rsid w:val="002376EE"/>
    <w:rsid w:val="002452B1"/>
    <w:rsid w:val="0026732F"/>
    <w:rsid w:val="00310423"/>
    <w:rsid w:val="003162B3"/>
    <w:rsid w:val="00320C40"/>
    <w:rsid w:val="00332420"/>
    <w:rsid w:val="0039522E"/>
    <w:rsid w:val="00397841"/>
    <w:rsid w:val="003A76BA"/>
    <w:rsid w:val="003B2359"/>
    <w:rsid w:val="003E6F7B"/>
    <w:rsid w:val="00402805"/>
    <w:rsid w:val="004303A2"/>
    <w:rsid w:val="00474AAB"/>
    <w:rsid w:val="004806B4"/>
    <w:rsid w:val="004B3C79"/>
    <w:rsid w:val="005A6105"/>
    <w:rsid w:val="005C7DD2"/>
    <w:rsid w:val="005E6FCD"/>
    <w:rsid w:val="00621478"/>
    <w:rsid w:val="00652330"/>
    <w:rsid w:val="00653210"/>
    <w:rsid w:val="006E23A7"/>
    <w:rsid w:val="0070662C"/>
    <w:rsid w:val="00783C87"/>
    <w:rsid w:val="0079659D"/>
    <w:rsid w:val="00796A28"/>
    <w:rsid w:val="007B3FDA"/>
    <w:rsid w:val="007F07F1"/>
    <w:rsid w:val="00821166"/>
    <w:rsid w:val="00840D5B"/>
    <w:rsid w:val="00853EF2"/>
    <w:rsid w:val="0086590B"/>
    <w:rsid w:val="00870460"/>
    <w:rsid w:val="008726BB"/>
    <w:rsid w:val="00881748"/>
    <w:rsid w:val="00886F8C"/>
    <w:rsid w:val="008B2FBB"/>
    <w:rsid w:val="0093637F"/>
    <w:rsid w:val="009C12D0"/>
    <w:rsid w:val="00A364ED"/>
    <w:rsid w:val="00A4036C"/>
    <w:rsid w:val="00A54E03"/>
    <w:rsid w:val="00A73001"/>
    <w:rsid w:val="00A74BEF"/>
    <w:rsid w:val="00AB43D1"/>
    <w:rsid w:val="00AD45D7"/>
    <w:rsid w:val="00AD4AC8"/>
    <w:rsid w:val="00AF0D0F"/>
    <w:rsid w:val="00B13774"/>
    <w:rsid w:val="00B3649B"/>
    <w:rsid w:val="00BC4CD1"/>
    <w:rsid w:val="00BF755E"/>
    <w:rsid w:val="00C15515"/>
    <w:rsid w:val="00C23A80"/>
    <w:rsid w:val="00C31B13"/>
    <w:rsid w:val="00C520E8"/>
    <w:rsid w:val="00C6241F"/>
    <w:rsid w:val="00C6795D"/>
    <w:rsid w:val="00C7766E"/>
    <w:rsid w:val="00C9426E"/>
    <w:rsid w:val="00C95B11"/>
    <w:rsid w:val="00CE07E5"/>
    <w:rsid w:val="00CE76DB"/>
    <w:rsid w:val="00D11AE7"/>
    <w:rsid w:val="00D35C6B"/>
    <w:rsid w:val="00DE2A17"/>
    <w:rsid w:val="00E118A6"/>
    <w:rsid w:val="00E3709C"/>
    <w:rsid w:val="00E569FE"/>
    <w:rsid w:val="00EB0C35"/>
    <w:rsid w:val="00F17301"/>
    <w:rsid w:val="00F542D4"/>
    <w:rsid w:val="00F55822"/>
    <w:rsid w:val="00FB3BC1"/>
    <w:rsid w:val="00FE74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A8874"/>
  <w15:chartTrackingRefBased/>
  <w15:docId w15:val="{479EC2B4-A080-4BBB-919C-98752576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66E"/>
  </w:style>
  <w:style w:type="paragraph" w:styleId="Titre1">
    <w:name w:val="heading 1"/>
    <w:basedOn w:val="Normal"/>
    <w:next w:val="Normal"/>
    <w:link w:val="Titre1Car"/>
    <w:uiPriority w:val="9"/>
    <w:qFormat/>
    <w:rsid w:val="00C776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C776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C776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C7766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C7766E"/>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C7766E"/>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C7766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C7766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776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766E"/>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C7766E"/>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C7766E"/>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C7766E"/>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C7766E"/>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C7766E"/>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C7766E"/>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C7766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7766E"/>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iPriority w:val="35"/>
    <w:semiHidden/>
    <w:unhideWhenUsed/>
    <w:qFormat/>
    <w:rsid w:val="00C7766E"/>
    <w:pPr>
      <w:spacing w:after="200" w:line="240" w:lineRule="auto"/>
    </w:pPr>
    <w:rPr>
      <w:i/>
      <w:iCs/>
      <w:color w:val="44546A" w:themeColor="text2"/>
      <w:sz w:val="18"/>
      <w:szCs w:val="18"/>
    </w:rPr>
  </w:style>
  <w:style w:type="paragraph" w:styleId="Titre">
    <w:name w:val="Title"/>
    <w:basedOn w:val="Normal"/>
    <w:next w:val="Normal"/>
    <w:link w:val="TitreCar"/>
    <w:uiPriority w:val="10"/>
    <w:qFormat/>
    <w:rsid w:val="00C776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76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766E"/>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7766E"/>
    <w:rPr>
      <w:rFonts w:eastAsiaTheme="minorEastAsia"/>
      <w:color w:val="5A5A5A" w:themeColor="text1" w:themeTint="A5"/>
      <w:spacing w:val="15"/>
    </w:rPr>
  </w:style>
  <w:style w:type="character" w:styleId="lev">
    <w:name w:val="Strong"/>
    <w:uiPriority w:val="22"/>
    <w:qFormat/>
    <w:rsid w:val="00C7766E"/>
    <w:rPr>
      <w:b/>
      <w:bCs/>
    </w:rPr>
  </w:style>
  <w:style w:type="character" w:styleId="Accentuation">
    <w:name w:val="Emphasis"/>
    <w:uiPriority w:val="20"/>
    <w:qFormat/>
    <w:rsid w:val="00C7766E"/>
    <w:rPr>
      <w:i/>
      <w:iCs/>
    </w:rPr>
  </w:style>
  <w:style w:type="paragraph" w:styleId="Sansinterligne">
    <w:name w:val="No Spacing"/>
    <w:uiPriority w:val="1"/>
    <w:qFormat/>
    <w:rsid w:val="00C7766E"/>
    <w:pPr>
      <w:spacing w:after="0" w:line="240" w:lineRule="auto"/>
    </w:pPr>
  </w:style>
  <w:style w:type="paragraph" w:styleId="Citation">
    <w:name w:val="Quote"/>
    <w:basedOn w:val="Normal"/>
    <w:next w:val="Normal"/>
    <w:link w:val="CitationCar"/>
    <w:uiPriority w:val="29"/>
    <w:qFormat/>
    <w:rsid w:val="00C7766E"/>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C7766E"/>
    <w:rPr>
      <w:i/>
      <w:iCs/>
      <w:color w:val="404040" w:themeColor="text1" w:themeTint="BF"/>
    </w:rPr>
  </w:style>
  <w:style w:type="paragraph" w:styleId="Citationintense">
    <w:name w:val="Intense Quote"/>
    <w:basedOn w:val="Normal"/>
    <w:next w:val="Normal"/>
    <w:link w:val="CitationintenseCar"/>
    <w:uiPriority w:val="30"/>
    <w:qFormat/>
    <w:rsid w:val="00C7766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C7766E"/>
    <w:rPr>
      <w:i/>
      <w:iCs/>
      <w:color w:val="4472C4" w:themeColor="accent1"/>
    </w:rPr>
  </w:style>
  <w:style w:type="character" w:styleId="Accentuationlgre">
    <w:name w:val="Subtle Emphasis"/>
    <w:uiPriority w:val="19"/>
    <w:qFormat/>
    <w:rsid w:val="00C7766E"/>
    <w:rPr>
      <w:i/>
      <w:iCs/>
      <w:color w:val="404040" w:themeColor="text1" w:themeTint="BF"/>
    </w:rPr>
  </w:style>
  <w:style w:type="character" w:styleId="Accentuationintense">
    <w:name w:val="Intense Emphasis"/>
    <w:uiPriority w:val="21"/>
    <w:qFormat/>
    <w:rsid w:val="00C7766E"/>
    <w:rPr>
      <w:i/>
      <w:iCs/>
      <w:color w:val="4472C4" w:themeColor="accent1"/>
    </w:rPr>
  </w:style>
  <w:style w:type="character" w:styleId="Rfrencelgre">
    <w:name w:val="Subtle Reference"/>
    <w:uiPriority w:val="31"/>
    <w:qFormat/>
    <w:rsid w:val="00C7766E"/>
    <w:rPr>
      <w:smallCaps/>
      <w:color w:val="5A5A5A" w:themeColor="text1" w:themeTint="A5"/>
    </w:rPr>
  </w:style>
  <w:style w:type="character" w:styleId="Rfrenceintense">
    <w:name w:val="Intense Reference"/>
    <w:uiPriority w:val="32"/>
    <w:qFormat/>
    <w:rsid w:val="00C7766E"/>
    <w:rPr>
      <w:b/>
      <w:bCs/>
      <w:smallCaps/>
      <w:color w:val="4472C4" w:themeColor="accent1"/>
      <w:spacing w:val="5"/>
    </w:rPr>
  </w:style>
  <w:style w:type="character" w:styleId="Titredulivre">
    <w:name w:val="Book Title"/>
    <w:uiPriority w:val="33"/>
    <w:qFormat/>
    <w:rsid w:val="00C7766E"/>
    <w:rPr>
      <w:b/>
      <w:bCs/>
      <w:i/>
      <w:iCs/>
      <w:spacing w:val="5"/>
    </w:rPr>
  </w:style>
  <w:style w:type="paragraph" w:styleId="En-ttedetabledesmatires">
    <w:name w:val="TOC Heading"/>
    <w:basedOn w:val="Titre1"/>
    <w:next w:val="Normal"/>
    <w:uiPriority w:val="39"/>
    <w:semiHidden/>
    <w:unhideWhenUsed/>
    <w:qFormat/>
    <w:rsid w:val="00C7766E"/>
    <w:pPr>
      <w:outlineLvl w:val="9"/>
    </w:pPr>
  </w:style>
  <w:style w:type="paragraph" w:styleId="En-tte">
    <w:name w:val="header"/>
    <w:basedOn w:val="Normal"/>
    <w:link w:val="En-tteCar"/>
    <w:uiPriority w:val="99"/>
    <w:unhideWhenUsed/>
    <w:rsid w:val="001D76A4"/>
    <w:pPr>
      <w:tabs>
        <w:tab w:val="center" w:pos="4536"/>
        <w:tab w:val="right" w:pos="9072"/>
      </w:tabs>
      <w:spacing w:after="0" w:line="240" w:lineRule="auto"/>
    </w:pPr>
  </w:style>
  <w:style w:type="character" w:customStyle="1" w:styleId="En-tteCar">
    <w:name w:val="En-tête Car"/>
    <w:basedOn w:val="Policepardfaut"/>
    <w:link w:val="En-tte"/>
    <w:uiPriority w:val="99"/>
    <w:rsid w:val="001D76A4"/>
  </w:style>
  <w:style w:type="paragraph" w:styleId="Pieddepage">
    <w:name w:val="footer"/>
    <w:basedOn w:val="Normal"/>
    <w:link w:val="PieddepageCar"/>
    <w:uiPriority w:val="99"/>
    <w:unhideWhenUsed/>
    <w:rsid w:val="001D76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76A4"/>
  </w:style>
  <w:style w:type="paragraph" w:styleId="Paragraphedeliste">
    <w:name w:val="List Paragraph"/>
    <w:basedOn w:val="Normal"/>
    <w:uiPriority w:val="34"/>
    <w:qFormat/>
    <w:rsid w:val="00A54E03"/>
    <w:pPr>
      <w:ind w:left="720"/>
      <w:contextualSpacing/>
    </w:pPr>
  </w:style>
  <w:style w:type="character" w:styleId="Marquedecommentaire">
    <w:name w:val="annotation reference"/>
    <w:basedOn w:val="Policepardfaut"/>
    <w:uiPriority w:val="99"/>
    <w:semiHidden/>
    <w:unhideWhenUsed/>
    <w:rsid w:val="003162B3"/>
    <w:rPr>
      <w:sz w:val="16"/>
      <w:szCs w:val="16"/>
    </w:rPr>
  </w:style>
  <w:style w:type="paragraph" w:styleId="Commentaire">
    <w:name w:val="annotation text"/>
    <w:basedOn w:val="Normal"/>
    <w:link w:val="CommentaireCar"/>
    <w:uiPriority w:val="99"/>
    <w:semiHidden/>
    <w:unhideWhenUsed/>
    <w:rsid w:val="003162B3"/>
    <w:pPr>
      <w:spacing w:line="240" w:lineRule="auto"/>
    </w:pPr>
    <w:rPr>
      <w:sz w:val="20"/>
      <w:szCs w:val="20"/>
    </w:rPr>
  </w:style>
  <w:style w:type="character" w:customStyle="1" w:styleId="CommentaireCar">
    <w:name w:val="Commentaire Car"/>
    <w:basedOn w:val="Policepardfaut"/>
    <w:link w:val="Commentaire"/>
    <w:uiPriority w:val="99"/>
    <w:semiHidden/>
    <w:rsid w:val="003162B3"/>
    <w:rPr>
      <w:sz w:val="20"/>
      <w:szCs w:val="20"/>
    </w:rPr>
  </w:style>
  <w:style w:type="paragraph" w:styleId="Objetducommentaire">
    <w:name w:val="annotation subject"/>
    <w:basedOn w:val="Commentaire"/>
    <w:next w:val="Commentaire"/>
    <w:link w:val="ObjetducommentaireCar"/>
    <w:uiPriority w:val="99"/>
    <w:semiHidden/>
    <w:unhideWhenUsed/>
    <w:rsid w:val="003162B3"/>
    <w:rPr>
      <w:b/>
      <w:bCs/>
    </w:rPr>
  </w:style>
  <w:style w:type="character" w:customStyle="1" w:styleId="ObjetducommentaireCar">
    <w:name w:val="Objet du commentaire Car"/>
    <w:basedOn w:val="CommentaireCar"/>
    <w:link w:val="Objetducommentaire"/>
    <w:uiPriority w:val="99"/>
    <w:semiHidden/>
    <w:rsid w:val="003162B3"/>
    <w:rPr>
      <w:b/>
      <w:bCs/>
      <w:sz w:val="20"/>
      <w:szCs w:val="20"/>
    </w:rPr>
  </w:style>
  <w:style w:type="character" w:styleId="Lienhypertexte">
    <w:name w:val="Hyperlink"/>
    <w:basedOn w:val="Policepardfaut"/>
    <w:uiPriority w:val="99"/>
    <w:unhideWhenUsed/>
    <w:rsid w:val="00621478"/>
    <w:rPr>
      <w:color w:val="0000FF"/>
      <w:u w:val="single"/>
    </w:rPr>
  </w:style>
  <w:style w:type="character" w:styleId="Mentionnonrsolue">
    <w:name w:val="Unresolved Mention"/>
    <w:basedOn w:val="Policepardfaut"/>
    <w:uiPriority w:val="99"/>
    <w:semiHidden/>
    <w:unhideWhenUsed/>
    <w:rsid w:val="00621478"/>
    <w:rPr>
      <w:color w:val="605E5C"/>
      <w:shd w:val="clear" w:color="auto" w:fill="E1DFDD"/>
    </w:rPr>
  </w:style>
  <w:style w:type="table" w:styleId="Grilledutableau">
    <w:name w:val="Table Grid"/>
    <w:basedOn w:val="TableauNormal"/>
    <w:uiPriority w:val="39"/>
    <w:rsid w:val="00C6241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22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arche.numerique.gouv.fr/commencer/experts-judiciaires-inscription-initiale-campagn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ecretariat@ceca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cad.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cretariat@cecad.org" TargetMode="External"/><Relationship Id="rId4" Type="http://schemas.openxmlformats.org/officeDocument/2006/relationships/webSettings" Target="webSettings.xml"/><Relationship Id="rId9" Type="http://schemas.openxmlformats.org/officeDocument/2006/relationships/hyperlink" Target="https://www.cecad.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934</Words>
  <Characters>5140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COURTEILLE Catherine</dc:creator>
  <cp:keywords/>
  <dc:description/>
  <cp:lastModifiedBy>LICTEVOUT Jessica</cp:lastModifiedBy>
  <cp:revision>5</cp:revision>
  <dcterms:created xsi:type="dcterms:W3CDTF">2025-12-30T09:40:00Z</dcterms:created>
  <dcterms:modified xsi:type="dcterms:W3CDTF">2026-01-01T21:55:00Z</dcterms:modified>
</cp:coreProperties>
</file>