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AC" w:rsidRPr="006028AC" w:rsidRDefault="006028AC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b/>
          <w:sz w:val="36"/>
          <w:szCs w:val="36"/>
          <w:lang w:eastAsia="fr-FR"/>
        </w:rPr>
      </w:pPr>
      <w:r w:rsidRPr="006028AC">
        <w:rPr>
          <w:rFonts w:ascii="Marianne" w:eastAsia="Times New Roman" w:hAnsi="Marianne" w:cs="Arial"/>
          <w:b/>
          <w:sz w:val="36"/>
          <w:szCs w:val="36"/>
          <w:lang w:eastAsia="fr-FR"/>
        </w:rPr>
        <w:t>Suivre son affaire en ligne</w:t>
      </w:r>
      <w:r w:rsidRPr="006028AC">
        <w:rPr>
          <w:rFonts w:ascii="Calibri" w:eastAsia="Times New Roman" w:hAnsi="Calibri" w:cs="Calibri"/>
          <w:b/>
          <w:sz w:val="36"/>
          <w:szCs w:val="36"/>
          <w:lang w:eastAsia="fr-FR"/>
        </w:rPr>
        <w:t> </w:t>
      </w:r>
      <w:r w:rsidRPr="006028AC">
        <w:rPr>
          <w:rFonts w:ascii="Marianne" w:eastAsia="Times New Roman" w:hAnsi="Marianne" w:cs="Arial"/>
          <w:b/>
          <w:sz w:val="36"/>
          <w:szCs w:val="36"/>
          <w:lang w:eastAsia="fr-FR"/>
        </w:rPr>
        <w:t>: un service numérique justice.fr</w:t>
      </w:r>
    </w:p>
    <w:p w:rsidR="006028AC" w:rsidRDefault="006028AC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7"/>
          <w:szCs w:val="27"/>
          <w:lang w:eastAsia="fr-FR"/>
        </w:rPr>
      </w:pPr>
      <w:r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 xml:space="preserve">Afin d’améliorer la qualité de service proposé aux justiciables, le ministère de la </w:t>
      </w:r>
      <w:r w:rsidR="00215911"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 xml:space="preserve">justice </w:t>
      </w:r>
      <w:r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 xml:space="preserve">a lancé, </w:t>
      </w:r>
      <w:r w:rsidR="00215911"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>en</w:t>
      </w:r>
      <w:r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 xml:space="preserve"> 2019, un nouveau service numérique</w:t>
      </w:r>
      <w:r>
        <w:rPr>
          <w:rFonts w:ascii="Calibri" w:eastAsia="Times New Roman" w:hAnsi="Calibri" w:cs="Calibri"/>
          <w:color w:val="555555"/>
          <w:sz w:val="27"/>
          <w:szCs w:val="27"/>
          <w:lang w:eastAsia="fr-FR"/>
        </w:rPr>
        <w:t> </w:t>
      </w:r>
      <w:r>
        <w:rPr>
          <w:rFonts w:ascii="Marianne" w:eastAsia="Times New Roman" w:hAnsi="Marianne" w:cs="Arial"/>
          <w:color w:val="555555"/>
          <w:sz w:val="27"/>
          <w:szCs w:val="27"/>
          <w:lang w:eastAsia="fr-FR"/>
        </w:rPr>
        <w:t xml:space="preserve">: le suivi de son affaire en ligne. </w:t>
      </w:r>
    </w:p>
    <w:p w:rsidR="006028AC" w:rsidRDefault="006028AC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</w:pPr>
      <w:r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  <w:t>[</w:t>
      </w:r>
      <w:r w:rsidRPr="006028AC"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  <w:t>Au choix image ou vidéo</w:t>
      </w:r>
      <w:r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  <w:t>]</w:t>
      </w:r>
    </w:p>
    <w:p w:rsidR="002E5A51" w:rsidRDefault="002E5A51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</w:pPr>
      <w:r w:rsidRPr="002E5A51">
        <w:rPr>
          <w:rFonts w:ascii="Marianne" w:eastAsia="Times New Roman" w:hAnsi="Marianne" w:cs="Arial"/>
          <w:i/>
          <w:noProof/>
          <w:color w:val="555555"/>
          <w:sz w:val="27"/>
          <w:szCs w:val="27"/>
          <w:lang w:eastAsia="fr-FR"/>
        </w:rPr>
        <w:drawing>
          <wp:inline distT="0" distB="0" distL="0" distR="0">
            <wp:extent cx="5760720" cy="3255144"/>
            <wp:effectExtent l="0" t="0" r="0" b="2540"/>
            <wp:docPr id="2" name="Image 2" descr="C:\Users\laetitia.raffin\Documents\Communication\Communiqué consultation\suivi en l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titia.raffin\Documents\Communication\Communiqué consultation\suivi en lig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AC" w:rsidRPr="006028AC" w:rsidRDefault="006028AC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i/>
          <w:color w:val="555555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4BEF74BB" wp14:editId="1C534529">
            <wp:extent cx="5429250" cy="3084584"/>
            <wp:effectExtent l="0" t="0" r="0" b="1905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6338" cy="309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C4" w:rsidRPr="00033DC4" w:rsidRDefault="00D25A8D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lastRenderedPageBreak/>
        <w:t xml:space="preserve">Depuis 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l’été </w:t>
      </w: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2019, </w:t>
      </w:r>
      <w:r w:rsidR="001B27D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les justiciables ont</w:t>
      </w: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accès au suivi en ligne d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e leur</w:t>
      </w: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affaire judiciaire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.  </w:t>
      </w:r>
      <w:r w:rsidR="00CF3F7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Via</w:t>
      </w:r>
      <w:r w:rsidR="00CF3F7E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un espace personnel sécurisé, accessible depuis le site justice.fr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, </w:t>
      </w:r>
      <w:r w:rsidR="001B27D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le justiciable peut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cons</w:t>
      </w: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ulter l’état d’avancement de </w:t>
      </w:r>
      <w:r w:rsidR="005C3D00" w:rsidRPr="003E0515">
        <w:rPr>
          <w:rFonts w:ascii="Marianne" w:eastAsia="Times New Roman" w:hAnsi="Marianne" w:cs="Arial"/>
          <w:sz w:val="24"/>
          <w:szCs w:val="24"/>
          <w:lang w:eastAsia="fr-FR"/>
        </w:rPr>
        <w:t>son</w:t>
      </w:r>
      <w:r w:rsidR="005C3D00">
        <w:rPr>
          <w:rFonts w:ascii="Marianne" w:eastAsia="Times New Roman" w:hAnsi="Marianne" w:cs="Arial"/>
          <w:color w:val="70AD47" w:themeColor="accent6"/>
          <w:sz w:val="24"/>
          <w:szCs w:val="24"/>
          <w:lang w:eastAsia="fr-FR"/>
        </w:rPr>
        <w:t xml:space="preserve"> 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dossier civil 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- 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et 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bientôt</w:t>
      </w:r>
      <w:r w:rsidR="00033DC4" w:rsidRPr="006028AC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p</w:t>
      </w:r>
      <w:r w:rsidR="00033DC4" w:rsidRPr="006028AC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="00033DC4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nal -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et :</w:t>
      </w:r>
    </w:p>
    <w:p w:rsidR="00033DC4" w:rsidRPr="00033DC4" w:rsidRDefault="00033DC4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033DC4">
        <w:rPr>
          <w:rFonts w:ascii="Marianne" w:eastAsia="Times New Roman" w:hAnsi="Marianne" w:cs="Arial"/>
          <w:noProof/>
          <w:color w:val="555555"/>
          <w:sz w:val="24"/>
          <w:szCs w:val="24"/>
          <w:lang w:eastAsia="fr-FR"/>
        </w:rPr>
        <w:drawing>
          <wp:inline distT="0" distB="0" distL="0" distR="0" wp14:anchorId="11822A16" wp14:editId="4165E046">
            <wp:extent cx="180975" cy="95250"/>
            <wp:effectExtent l="0" t="0" r="9525" b="0"/>
            <wp:docPr id="6" name="Image 6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C4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 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proofErr w:type="gramStart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retrouver</w:t>
      </w:r>
      <w:proofErr w:type="gramEnd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les informations relatives 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à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r w:rsidR="00CF3F7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sa procédure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et les principaux événements </w:t>
      </w:r>
      <w:r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du dossier 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depuis la date de saisine</w:t>
      </w:r>
    </w:p>
    <w:p w:rsidR="00033DC4" w:rsidRPr="00033DC4" w:rsidRDefault="00033DC4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033DC4">
        <w:rPr>
          <w:rFonts w:ascii="Marianne" w:eastAsia="Times New Roman" w:hAnsi="Marianne" w:cs="Arial"/>
          <w:noProof/>
          <w:color w:val="555555"/>
          <w:sz w:val="24"/>
          <w:szCs w:val="24"/>
          <w:lang w:eastAsia="fr-FR"/>
        </w:rPr>
        <w:drawing>
          <wp:inline distT="0" distB="0" distL="0" distR="0" wp14:anchorId="49953E78" wp14:editId="3C874428">
            <wp:extent cx="180975" cy="95250"/>
            <wp:effectExtent l="0" t="0" r="9525" b="0"/>
            <wp:docPr id="7" name="Image 7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C4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 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proofErr w:type="gramStart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t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l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charger</w:t>
      </w:r>
      <w:proofErr w:type="gramEnd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les 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ditions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qui le concernent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(avis, convocations et r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c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piss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 envoy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 par lettre simple ou recommand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e sans accusé de réception)</w:t>
      </w:r>
    </w:p>
    <w:p w:rsidR="00033DC4" w:rsidRPr="00033DC4" w:rsidRDefault="001B27DE" w:rsidP="00033DC4">
      <w:pPr>
        <w:shd w:val="clear" w:color="auto" w:fill="FFFFFF"/>
        <w:spacing w:after="225" w:line="240" w:lineRule="auto"/>
        <w:jc w:val="both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Il est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également informé par courriel de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mise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</w:t>
      </w: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à jour de son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dossier et de la mise à disposition de 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nouvelles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édi</w:t>
      </w: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tions dans son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espace personnel. </w:t>
      </w: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Il reçoit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par SMS 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un rappe</w:t>
      </w: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l 3 jours avant la date de sa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prochaine audience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.</w:t>
      </w:r>
    </w:p>
    <w:p w:rsidR="00033DC4" w:rsidRPr="00033DC4" w:rsidRDefault="00033DC4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Pour pouv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oir consulter les données de </w:t>
      </w:r>
      <w:r w:rsidR="001B27D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son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dossier, </w:t>
      </w:r>
      <w:r w:rsidR="001B27D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le justiciable doit</w:t>
      </w:r>
      <w:r w:rsidR="00D25A8D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au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préalable consentir à la transmission par voie électronique. Le recueil du consentement s’effectue par :</w:t>
      </w:r>
    </w:p>
    <w:p w:rsidR="00033DC4" w:rsidRPr="00033DC4" w:rsidRDefault="00033DC4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033DC4">
        <w:rPr>
          <w:rFonts w:ascii="Marianne" w:eastAsia="Times New Roman" w:hAnsi="Marianne" w:cs="Arial"/>
          <w:noProof/>
          <w:color w:val="555555"/>
          <w:sz w:val="24"/>
          <w:szCs w:val="24"/>
          <w:lang w:eastAsia="fr-FR"/>
        </w:rPr>
        <w:drawing>
          <wp:inline distT="0" distB="0" distL="0" distR="0" wp14:anchorId="7D8A6F6F" wp14:editId="4CA1D1BD">
            <wp:extent cx="180975" cy="95250"/>
            <wp:effectExtent l="0" t="0" r="9525" b="0"/>
            <wp:docPr id="8" name="Image 8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e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C4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 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La transmission (en main propre ou par courrier) du formulaire </w:t>
      </w:r>
      <w:proofErr w:type="spellStart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cerfa</w:t>
      </w:r>
      <w:proofErr w:type="spellEnd"/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n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°</w:t>
      </w:r>
      <w:r w:rsidR="00215911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 xml:space="preserve"> 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15414, 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disponible sur justice.fr, 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dûment complété et signé, et accompagné d’une copie d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e la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pièce d’identité</w:t>
      </w:r>
      <w:r w:rsidR="00215911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</w:t>
      </w:r>
      <w:r w:rsidR="00215911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;</w:t>
      </w:r>
    </w:p>
    <w:p w:rsidR="00033DC4" w:rsidRPr="00033DC4" w:rsidRDefault="00033DC4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 w:rsidRPr="00033DC4">
        <w:rPr>
          <w:rFonts w:ascii="Marianne" w:eastAsia="Times New Roman" w:hAnsi="Marianne" w:cs="Arial"/>
          <w:noProof/>
          <w:color w:val="555555"/>
          <w:sz w:val="24"/>
          <w:szCs w:val="24"/>
          <w:lang w:eastAsia="fr-FR"/>
        </w:rPr>
        <w:drawing>
          <wp:inline distT="0" distB="0" distL="0" distR="0" wp14:anchorId="42E20077" wp14:editId="5BA2D208">
            <wp:extent cx="180975" cy="95250"/>
            <wp:effectExtent l="0" t="0" r="9525" b="0"/>
            <wp:docPr id="9" name="Image 9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e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C4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 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La r</w:t>
      </w:r>
      <w:r w:rsidRPr="00033DC4">
        <w:rPr>
          <w:rFonts w:ascii="Marianne" w:eastAsia="Times New Roman" w:hAnsi="Marianne" w:cs="Marianne"/>
          <w:color w:val="555555"/>
          <w:sz w:val="24"/>
          <w:szCs w:val="24"/>
          <w:lang w:eastAsia="fr-FR"/>
        </w:rPr>
        <w:t>é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ception du consentement en audience ou en audition. Dans ce cas, une mention spécifique</w:t>
      </w:r>
      <w:r w:rsidR="00807E3F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6028AC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est</w:t>
      </w:r>
      <w:r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apposée en bas du procès-verbal.</w:t>
      </w:r>
    </w:p>
    <w:p w:rsidR="00033DC4" w:rsidRDefault="00DB0876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i1025" type="#_x0000_t75" alt="fleche" style="width:14.25pt;height:7.5pt;visibility:visible;mso-wrap-style:square">
            <v:imagedata r:id="rId8" o:title="fleche"/>
          </v:shape>
        </w:pict>
      </w:r>
      <w:r w:rsidR="00033DC4" w:rsidRPr="00033DC4">
        <w:rPr>
          <w:rFonts w:ascii="Calibri" w:eastAsia="Times New Roman" w:hAnsi="Calibri" w:cs="Calibri"/>
          <w:color w:val="555555"/>
          <w:sz w:val="24"/>
          <w:szCs w:val="24"/>
          <w:lang w:eastAsia="fr-FR"/>
        </w:rPr>
        <w:t>  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Lors de la saisine en ligne d’une requête numérique</w:t>
      </w:r>
      <w:r w:rsidR="006028AC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(service accessible depuis le site justice.fr pour des procédures </w:t>
      </w:r>
      <w:r w:rsidR="002E5A51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identifiées</w:t>
      </w:r>
      <w:r w:rsidR="006028AC" w:rsidRPr="006028AC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)</w:t>
      </w:r>
      <w:r w:rsidR="00033DC4" w:rsidRPr="00033DC4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, en cochant la case correspondante. </w:t>
      </w:r>
    </w:p>
    <w:p w:rsidR="002E5A51" w:rsidRPr="00033DC4" w:rsidRDefault="002E5A51" w:rsidP="00033DC4">
      <w:pPr>
        <w:shd w:val="clear" w:color="auto" w:fill="FFFFFF"/>
        <w:spacing w:after="225" w:line="240" w:lineRule="auto"/>
        <w:textAlignment w:val="baseline"/>
        <w:outlineLvl w:val="4"/>
        <w:rPr>
          <w:rFonts w:ascii="Marianne" w:eastAsia="Times New Roman" w:hAnsi="Marianne" w:cs="Arial"/>
          <w:color w:val="555555"/>
          <w:sz w:val="24"/>
          <w:szCs w:val="24"/>
          <w:lang w:eastAsia="fr-FR"/>
        </w:rPr>
      </w:pP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Retrouvez </w:t>
      </w:r>
      <w:r w:rsidR="001B27DE"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plus d’informations sur le service de suivi en ligne d’une affaire judiciaire</w:t>
      </w:r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 xml:space="preserve"> sur le site justice.fr en cliquant </w:t>
      </w:r>
      <w:hyperlink r:id="rId9" w:history="1">
        <w:r w:rsidRPr="002E5A51">
          <w:rPr>
            <w:rStyle w:val="Lienhypertexte"/>
            <w:rFonts w:ascii="Marianne" w:eastAsia="Times New Roman" w:hAnsi="Marianne" w:cs="Arial"/>
            <w:sz w:val="24"/>
            <w:szCs w:val="24"/>
            <w:lang w:eastAsia="fr-FR"/>
          </w:rPr>
          <w:t>ici</w:t>
        </w:r>
      </w:hyperlink>
      <w:r>
        <w:rPr>
          <w:rFonts w:ascii="Marianne" w:eastAsia="Times New Roman" w:hAnsi="Marianne" w:cs="Arial"/>
          <w:color w:val="555555"/>
          <w:sz w:val="24"/>
          <w:szCs w:val="24"/>
          <w:lang w:eastAsia="fr-FR"/>
        </w:rPr>
        <w:t>.</w:t>
      </w:r>
    </w:p>
    <w:p w:rsidR="00981A87" w:rsidRDefault="00DB0876"/>
    <w:sectPr w:rsidR="0098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4"/>
    <w:rsid w:val="00033DC4"/>
    <w:rsid w:val="000C2E6E"/>
    <w:rsid w:val="001B27DE"/>
    <w:rsid w:val="00215911"/>
    <w:rsid w:val="00277EC8"/>
    <w:rsid w:val="002E5A51"/>
    <w:rsid w:val="00396EDF"/>
    <w:rsid w:val="003E0515"/>
    <w:rsid w:val="005C3D00"/>
    <w:rsid w:val="006028AC"/>
    <w:rsid w:val="00807E3F"/>
    <w:rsid w:val="00906FF5"/>
    <w:rsid w:val="00BD653B"/>
    <w:rsid w:val="00CF3F7E"/>
    <w:rsid w:val="00D25A8D"/>
    <w:rsid w:val="00DB0876"/>
    <w:rsid w:val="00E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D309-19DB-4987-B773-CDC52105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5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outil.intranet.justice.gouv.fr/portalis/projet/index.php/justice-fr-4/suivre-son-affaire-en-lign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justice.fr/themes/suivre-son-affaire-en-l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 Laetitia</dc:creator>
  <cp:keywords/>
  <dc:description/>
  <cp:lastModifiedBy>RACINE Laetitia</cp:lastModifiedBy>
  <cp:revision>3</cp:revision>
  <dcterms:created xsi:type="dcterms:W3CDTF">2021-05-25T11:55:00Z</dcterms:created>
  <dcterms:modified xsi:type="dcterms:W3CDTF">2021-05-25T11:56:00Z</dcterms:modified>
</cp:coreProperties>
</file>